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Times New Roman"/>
          <w:sz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Times New Roman"/>
          <w:sz w:val="36"/>
          <w:highlight w:val="none"/>
          <w:lang w:val="en-US" w:eastAsia="zh-CN"/>
        </w:rPr>
        <w:t>安宁市红十字会2025年“三公”经费情况</w:t>
      </w:r>
    </w:p>
    <w:p>
      <w:pPr>
        <w:jc w:val="center"/>
        <w:rPr>
          <w:rFonts w:hint="eastAsia" w:ascii="方正小标宋简体" w:hAnsi="方正小标宋简体" w:eastAsia="方正小标宋简体" w:cs="Times New Roman"/>
          <w:sz w:val="36"/>
          <w:highlight w:val="none"/>
          <w:lang w:val="en-US" w:eastAsia="zh-CN"/>
        </w:rPr>
      </w:pPr>
    </w:p>
    <w:p>
      <w:pPr>
        <w:ind w:firstLine="60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一般公共预算财政拨款“三公”经费支出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中：因公出国（境）费用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支出决算增加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0.00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元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上年无此项支出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；公务用车购置费支出决算增加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0.00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元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上年无此项支出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；公务用车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运行维护费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支出决算增加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0.00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元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上年无此项支出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；公务接待费支出决算减少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70.00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元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，下降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具体是国内接待费支出决算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0.00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元（其中：外事接待费支出决算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0.00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元），较上年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减少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70.00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元，下降100%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国（境）外接待费支出决算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0.00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元较上年增加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0.00元，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上年无此项支出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年度一般公共预算财政拨款“三公”经费支出决算减少的主要原因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年我单位在保障工作顺利开展的同时积极响应国家履行节约的号召，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未产生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公务接待费支出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D52DA"/>
    <w:rsid w:val="0D1F5124"/>
    <w:rsid w:val="13D8413F"/>
    <w:rsid w:val="150C53BE"/>
    <w:rsid w:val="18DD2AF5"/>
    <w:rsid w:val="23935752"/>
    <w:rsid w:val="24843F6E"/>
    <w:rsid w:val="2F456E84"/>
    <w:rsid w:val="4F025AC3"/>
    <w:rsid w:val="5C9E0592"/>
    <w:rsid w:val="63F63FE8"/>
    <w:rsid w:val="675B0786"/>
    <w:rsid w:val="6EC0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2023-02-01T09:25:00Z</dcterms:created>
  <dc:creator>User</dc:creator>
  <cp:lastModifiedBy>谜语人</cp:lastModifiedBy>
  <dcterms:modified xsi:type="dcterms:W3CDTF">2026-10-21T01:53:22Z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