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9066A">
      <w:pPr>
        <w:snapToGrid w:val="0"/>
        <w:jc w:val="both"/>
        <w:rPr>
          <w:rFonts w:ascii="华文中宋" w:hAnsi="华文中宋" w:eastAsia="华文中宋"/>
          <w:sz w:val="36"/>
          <w:szCs w:val="36"/>
        </w:rPr>
      </w:pPr>
    </w:p>
    <w:p w14:paraId="134C454B">
      <w:pPr>
        <w:snapToGrid w:val="0"/>
        <w:jc w:val="center"/>
        <w:rPr>
          <w:rFonts w:hint="eastAsia" w:ascii="华文中宋" w:hAnsi="华文中宋" w:eastAsia="华文中宋" w:cs="华文中宋"/>
          <w:sz w:val="36"/>
          <w:szCs w:val="36"/>
          <w:lang w:eastAsia="zh-CN"/>
        </w:rPr>
      </w:pPr>
      <w:r>
        <w:rPr>
          <w:rFonts w:hint="eastAsia" w:ascii="华文中宋" w:hAnsi="华文中宋" w:eastAsia="华文中宋" w:cs="华文中宋"/>
          <w:sz w:val="36"/>
          <w:szCs w:val="36"/>
          <w:lang w:eastAsia="zh-CN"/>
        </w:rPr>
        <w:t>20</w:t>
      </w:r>
      <w:r>
        <w:rPr>
          <w:rFonts w:hint="eastAsia" w:ascii="华文中宋" w:hAnsi="华文中宋" w:eastAsia="华文中宋" w:cs="华文中宋"/>
          <w:sz w:val="36"/>
          <w:szCs w:val="36"/>
          <w:lang w:val="en-US" w:eastAsia="zh-CN"/>
        </w:rPr>
        <w:t>25</w:t>
      </w:r>
      <w:r>
        <w:rPr>
          <w:rFonts w:hint="eastAsia" w:ascii="华文中宋" w:hAnsi="华文中宋" w:eastAsia="华文中宋" w:cs="华文中宋"/>
          <w:sz w:val="36"/>
          <w:szCs w:val="36"/>
          <w:lang w:eastAsia="zh-CN"/>
        </w:rPr>
        <w:t>年度龙陵县红十字会部门决算</w:t>
      </w:r>
    </w:p>
    <w:p w14:paraId="65B2DA2E">
      <w:pPr>
        <w:snapToGrid w:val="0"/>
        <w:jc w:val="center"/>
        <w:rPr>
          <w:rFonts w:hint="eastAsia" w:ascii="华文中宋" w:hAnsi="华文中宋" w:eastAsia="华文中宋" w:cs="华文中宋"/>
          <w:sz w:val="36"/>
          <w:szCs w:val="36"/>
          <w:lang w:eastAsia="zh-CN"/>
        </w:rPr>
      </w:pPr>
      <w:r>
        <w:rPr>
          <w:rFonts w:hint="eastAsia" w:ascii="华文中宋" w:hAnsi="华文中宋" w:eastAsia="华文中宋" w:cs="华文中宋"/>
          <w:sz w:val="36"/>
          <w:szCs w:val="36"/>
          <w:lang w:eastAsia="zh-CN"/>
        </w:rPr>
        <w:t>分析报告</w:t>
      </w:r>
    </w:p>
    <w:p w14:paraId="45162867">
      <w:pPr>
        <w:snapToGrid w:val="0"/>
        <w:jc w:val="center"/>
        <w:rPr>
          <w:rFonts w:ascii="华文中宋" w:hAnsi="华文中宋" w:eastAsia="华文中宋"/>
          <w:sz w:val="36"/>
          <w:szCs w:val="36"/>
        </w:rPr>
      </w:pPr>
    </w:p>
    <w:p w14:paraId="78CDDCC3">
      <w:pPr>
        <w:keepNext w:val="0"/>
        <w:keepLines w:val="0"/>
        <w:pageBreakBefore w:val="0"/>
        <w:kinsoku/>
        <w:wordWrap/>
        <w:overflowPunct/>
        <w:topLinePunct w:val="0"/>
        <w:autoSpaceDE/>
        <w:autoSpaceDN/>
        <w:bidi w:val="0"/>
        <w:adjustRightInd/>
        <w:snapToGrid w:val="0"/>
        <w:spacing w:line="520" w:lineRule="exact"/>
        <w:ind w:firstLine="640" w:firstLineChars="200"/>
        <w:rPr>
          <w:rFonts w:hint="eastAsia" w:ascii="黑体" w:hAnsi="黑体" w:eastAsia="黑体" w:cs="黑体"/>
          <w:b w:val="0"/>
          <w:bCs/>
          <w:sz w:val="32"/>
          <w:szCs w:val="32"/>
          <w:lang w:eastAsia="zh-CN"/>
        </w:rPr>
      </w:pPr>
      <w:bookmarkStart w:id="0" w:name="YS060101"/>
      <w:r>
        <w:rPr>
          <w:rFonts w:hint="eastAsia" w:ascii="黑体" w:hAnsi="黑体" w:eastAsia="黑体" w:cs="黑体"/>
          <w:b w:val="0"/>
          <w:bCs/>
          <w:sz w:val="32"/>
          <w:szCs w:val="32"/>
        </w:rPr>
        <w:t>一、部门情况</w:t>
      </w:r>
    </w:p>
    <w:bookmarkEnd w:id="0"/>
    <w:p w14:paraId="0BC567F2">
      <w:pPr>
        <w:keepNext w:val="0"/>
        <w:keepLines w:val="0"/>
        <w:pageBreakBefore w:val="0"/>
        <w:kinsoku/>
        <w:wordWrap/>
        <w:overflowPunct/>
        <w:topLinePunct w:val="0"/>
        <w:autoSpaceDE/>
        <w:autoSpaceDN/>
        <w:bidi w:val="0"/>
        <w:adjustRightInd/>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（一）基本情况。</w:t>
      </w:r>
    </w:p>
    <w:p w14:paraId="628229D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1．主要职能。</w:t>
      </w:r>
    </w:p>
    <w:p w14:paraId="59F1A21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（1）宣传贯彻实施《中华人民共和国红十字会法》《中华人民共和国红十字标志使用办法》和《云南省红十字会条例》等方针政策及法律法规，制订龙陵县红十字会工作计划与规划并组织实施。</w:t>
      </w:r>
    </w:p>
    <w:p w14:paraId="45302ED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（2）开展救灾准备工作，依法开展募捐活动，建设和管理救灾备灾设施，在自然灾害和突发事件中，开展救护和救助工作。</w:t>
      </w:r>
    </w:p>
    <w:p w14:paraId="68EA356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（3）开展卫生救护和防病知识的宣传普及，在易发生意外伤害的行业和基层组织开展初级卫生救护培训，组织群众参加意外伤害和自然灾害的现场救护。</w:t>
      </w:r>
    </w:p>
    <w:p w14:paraId="30CA9BB4">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（4）开展社会服务及社区红十字服务工作。组织会员、志愿者在社区开展社会服务、宣传培训、募捐救助活动。</w:t>
      </w:r>
    </w:p>
    <w:p w14:paraId="42F9AE1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（5）开展其他人道救助工作，参与建设和管理中国造血干细胞捐献者资料库。开展捐献造血干细胞的宣传动员、组织采样入库工作。推动器官、遗体捐献工作发展。</w:t>
      </w:r>
    </w:p>
    <w:p w14:paraId="207622B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（6）开展有益于青少年身心健康的红十字青少年活动。</w:t>
      </w:r>
    </w:p>
    <w:p w14:paraId="2545C71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（7）开展民间对外交往，与各红十字会组织及其他非政府组织建立友好关系，增进相互往来，开展交流与合作，扩大龙陵对外开放格局，争取多方援助。</w:t>
      </w:r>
    </w:p>
    <w:p w14:paraId="489DD58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（8）参加国际人道主义救援工作。宣传日内瓦公约及其附加议定书、红十字与红新月运动七项基本原则。开展与国际红十字组织和各国红十字会或红新月会及其他国际组织的交流与合作。</w:t>
      </w:r>
    </w:p>
    <w:p w14:paraId="2C83607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（9）兴办其他符合红十字会宗旨的社会福利事业。</w:t>
      </w:r>
    </w:p>
    <w:p w14:paraId="7D18C55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2．机构情况</w:t>
      </w:r>
      <w:r>
        <w:rPr>
          <w:rFonts w:hint="eastAsia" w:ascii="仿宋_GB2312" w:hAnsi="仿宋_GB2312" w:eastAsia="仿宋_GB2312" w:cs="仿宋_GB2312"/>
          <w:sz w:val="32"/>
          <w:szCs w:val="32"/>
          <w:lang w:eastAsia="zh-CN"/>
        </w:rPr>
        <w:t>：龙陵县红十字会</w:t>
      </w:r>
      <w:r>
        <w:rPr>
          <w:rFonts w:hint="eastAsia" w:ascii="仿宋_GB2312" w:hAnsi="仿宋_GB2312" w:eastAsia="仿宋_GB2312" w:cs="仿宋_GB2312"/>
          <w:kern w:val="0"/>
          <w:sz w:val="32"/>
          <w:szCs w:val="32"/>
          <w:highlight w:val="none"/>
          <w:lang w:val="en-US" w:eastAsia="zh-CN"/>
        </w:rPr>
        <w:t>共设置4个内部机构，包括：</w:t>
      </w:r>
      <w:r>
        <w:rPr>
          <w:rFonts w:hint="eastAsia" w:ascii="仿宋_GB2312" w:hAnsi="仿宋_GB2312" w:eastAsia="仿宋_GB2312" w:cs="仿宋_GB2312"/>
          <w:sz w:val="32"/>
          <w:szCs w:val="32"/>
          <w:lang w:eastAsia="zh-CN"/>
        </w:rPr>
        <w:t>办公室、会长室、财务室、业务室</w:t>
      </w:r>
      <w:r>
        <w:rPr>
          <w:rFonts w:hint="eastAsia" w:ascii="仿宋_GB2312" w:hAnsi="仿宋_GB2312" w:eastAsia="仿宋_GB2312" w:cs="仿宋_GB2312"/>
          <w:sz w:val="32"/>
          <w:szCs w:val="32"/>
        </w:rPr>
        <w:t>。</w:t>
      </w:r>
    </w:p>
    <w:p w14:paraId="1F9E151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人员情况</w:t>
      </w:r>
      <w:r>
        <w:rPr>
          <w:rFonts w:hint="eastAsia" w:ascii="仿宋_GB2312" w:hAnsi="仿宋_GB2312" w:eastAsia="仿宋_GB2312" w:cs="仿宋_GB2312"/>
          <w:sz w:val="32"/>
          <w:szCs w:val="32"/>
          <w:lang w:eastAsia="zh-CN"/>
        </w:rPr>
        <w:t>：龙陵县红十字会属社会团体，红十字会共有编制</w:t>
      </w:r>
      <w:r>
        <w:rPr>
          <w:rFonts w:hint="eastAsia" w:ascii="仿宋_GB2312" w:hAnsi="仿宋_GB2312" w:eastAsia="仿宋_GB2312" w:cs="仿宋_GB2312"/>
          <w:sz w:val="32"/>
          <w:szCs w:val="32"/>
          <w:lang w:val="en-US" w:eastAsia="zh-CN"/>
        </w:rPr>
        <w:t>7人。其中：2022</w:t>
      </w:r>
      <w:r>
        <w:rPr>
          <w:rFonts w:hint="eastAsia" w:ascii="仿宋_GB2312" w:hAnsi="仿宋_GB2312" w:eastAsia="仿宋_GB2312" w:cs="仿宋_GB2312"/>
          <w:sz w:val="32"/>
          <w:szCs w:val="32"/>
          <w:lang w:eastAsia="zh-CN"/>
        </w:rPr>
        <w:t>年机构改革根据</w:t>
      </w:r>
      <w:r>
        <w:rPr>
          <w:rFonts w:ascii="仿宋_GB2312" w:hAnsi="仿宋_GB2312" w:eastAsia="仿宋_GB2312" w:cs="仿宋_GB2312"/>
          <w:b w:val="0"/>
          <w:bCs w:val="0"/>
          <w:color w:val="000000"/>
          <w:sz w:val="31"/>
          <w:szCs w:val="31"/>
        </w:rPr>
        <w:t>龙机编办发〔</w:t>
      </w:r>
      <w:r>
        <w:rPr>
          <w:rFonts w:ascii="TimesNewRomanPSMT" w:hAnsi="TimesNewRomanPSMT" w:eastAsia="TimesNewRomanPSMT" w:cs="TimesNewRomanPSMT"/>
          <w:b w:val="0"/>
          <w:bCs w:val="0"/>
          <w:color w:val="000000"/>
          <w:sz w:val="31"/>
          <w:szCs w:val="31"/>
        </w:rPr>
        <w:t>2022</w:t>
      </w:r>
      <w:r>
        <w:rPr>
          <w:rFonts w:ascii="仿宋_GB2312" w:hAnsi="仿宋_GB2312" w:eastAsia="仿宋_GB2312" w:cs="仿宋_GB2312"/>
          <w:b w:val="0"/>
          <w:bCs w:val="0"/>
          <w:color w:val="000000"/>
          <w:sz w:val="31"/>
          <w:szCs w:val="31"/>
        </w:rPr>
        <w:t>〕</w:t>
      </w:r>
      <w:r>
        <w:rPr>
          <w:rFonts w:hint="default" w:ascii="TimesNewRomanPSMT" w:hAnsi="TimesNewRomanPSMT" w:eastAsia="TimesNewRomanPSMT" w:cs="TimesNewRomanPSMT"/>
          <w:b w:val="0"/>
          <w:bCs w:val="0"/>
          <w:color w:val="000000"/>
          <w:sz w:val="31"/>
          <w:szCs w:val="31"/>
        </w:rPr>
        <w:t xml:space="preserve">64 </w:t>
      </w:r>
      <w:r>
        <w:rPr>
          <w:rFonts w:ascii="仿宋_GB2312" w:hAnsi="仿宋_GB2312" w:eastAsia="仿宋_GB2312" w:cs="仿宋_GB2312"/>
          <w:b w:val="0"/>
          <w:bCs w:val="0"/>
          <w:color w:val="000000"/>
          <w:sz w:val="31"/>
          <w:szCs w:val="31"/>
        </w:rPr>
        <w:t>号</w:t>
      </w:r>
      <w:r>
        <w:rPr>
          <w:rFonts w:hint="eastAsia" w:ascii="仿宋_GB2312" w:hAnsi="仿宋_GB2312" w:eastAsia="仿宋_GB2312" w:cs="仿宋_GB2312"/>
          <w:b w:val="0"/>
          <w:bCs w:val="0"/>
          <w:color w:val="000000"/>
          <w:sz w:val="31"/>
          <w:szCs w:val="31"/>
          <w:lang w:eastAsia="zh-CN"/>
        </w:rPr>
        <w:t>核定行政编制</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5人，</w:t>
      </w:r>
      <w:r>
        <w:rPr>
          <w:rFonts w:ascii="仿宋_GB2312" w:hAnsi="仿宋_GB2312" w:eastAsia="仿宋_GB2312" w:cs="仿宋_GB2312"/>
          <w:b w:val="0"/>
          <w:bCs w:val="0"/>
          <w:color w:val="000000"/>
          <w:sz w:val="31"/>
          <w:szCs w:val="31"/>
        </w:rPr>
        <w:t>龙机编办发〔</w:t>
      </w:r>
      <w:r>
        <w:rPr>
          <w:rFonts w:ascii="TimesNewRomanPSMT" w:hAnsi="TimesNewRomanPSMT" w:eastAsia="TimesNewRomanPSMT" w:cs="TimesNewRomanPSMT"/>
          <w:b w:val="0"/>
          <w:bCs w:val="0"/>
          <w:color w:val="000000"/>
          <w:sz w:val="31"/>
          <w:szCs w:val="31"/>
        </w:rPr>
        <w:t>2023</w:t>
      </w:r>
      <w:r>
        <w:rPr>
          <w:rFonts w:ascii="仿宋_GB2312" w:hAnsi="仿宋_GB2312" w:eastAsia="仿宋_GB2312" w:cs="仿宋_GB2312"/>
          <w:b w:val="0"/>
          <w:bCs w:val="0"/>
          <w:color w:val="000000"/>
          <w:sz w:val="31"/>
          <w:szCs w:val="31"/>
        </w:rPr>
        <w:t>〕</w:t>
      </w:r>
      <w:r>
        <w:rPr>
          <w:rFonts w:hint="default" w:ascii="TimesNewRomanPSMT" w:hAnsi="TimesNewRomanPSMT" w:eastAsia="TimesNewRomanPSMT" w:cs="TimesNewRomanPSMT"/>
          <w:b w:val="0"/>
          <w:bCs w:val="0"/>
          <w:color w:val="000000"/>
          <w:sz w:val="31"/>
          <w:szCs w:val="31"/>
        </w:rPr>
        <w:t xml:space="preserve">12 </w:t>
      </w:r>
      <w:r>
        <w:rPr>
          <w:rFonts w:ascii="仿宋_GB2312" w:hAnsi="仿宋_GB2312" w:eastAsia="仿宋_GB2312" w:cs="仿宋_GB2312"/>
          <w:b w:val="0"/>
          <w:bCs w:val="0"/>
          <w:color w:val="000000"/>
          <w:sz w:val="31"/>
          <w:szCs w:val="31"/>
        </w:rPr>
        <w:t>号</w:t>
      </w:r>
      <w:r>
        <w:rPr>
          <w:rFonts w:hint="eastAsia" w:ascii="仿宋_GB2312" w:hAnsi="仿宋_GB2312" w:eastAsia="仿宋_GB2312" w:cs="仿宋_GB2312"/>
          <w:b w:val="0"/>
          <w:bCs w:val="0"/>
          <w:color w:val="000000"/>
          <w:sz w:val="31"/>
          <w:szCs w:val="31"/>
          <w:lang w:eastAsia="zh-CN"/>
        </w:rPr>
        <w:t>核定事业编制</w:t>
      </w:r>
      <w:r>
        <w:rPr>
          <w:rFonts w:hint="eastAsia" w:ascii="仿宋_GB2312" w:hAnsi="仿宋_GB2312" w:eastAsia="仿宋_GB2312" w:cs="仿宋_GB2312"/>
          <w:b w:val="0"/>
          <w:bCs w:val="0"/>
          <w:color w:val="000000"/>
          <w:sz w:val="31"/>
          <w:szCs w:val="31"/>
          <w:lang w:val="en-US" w:eastAsia="zh-CN"/>
        </w:rPr>
        <w:t>2人。</w:t>
      </w:r>
      <w:r>
        <w:rPr>
          <w:rFonts w:hint="eastAsia" w:ascii="仿宋_GB2312" w:hAnsi="仿宋_GB2312" w:eastAsia="仿宋_GB2312" w:cs="仿宋_GB2312"/>
          <w:sz w:val="32"/>
          <w:szCs w:val="32"/>
          <w:lang w:eastAsia="zh-CN"/>
        </w:rPr>
        <w:t>年末</w:t>
      </w:r>
      <w:r>
        <w:rPr>
          <w:rFonts w:hint="eastAsia" w:ascii="仿宋_GB2312" w:hAnsi="仿宋_GB2312" w:eastAsia="仿宋_GB2312" w:cs="仿宋_GB2312"/>
          <w:sz w:val="32"/>
          <w:szCs w:val="32"/>
        </w:rPr>
        <w:t>在职在编</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人员</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（本年调</w:t>
      </w:r>
      <w:r>
        <w:rPr>
          <w:rFonts w:hint="eastAsia" w:ascii="仿宋_GB2312" w:hAnsi="仿宋_GB2312" w:eastAsia="仿宋_GB2312" w:cs="仿宋_GB2312"/>
          <w:sz w:val="32"/>
          <w:szCs w:val="32"/>
          <w:lang w:val="en-US" w:eastAsia="zh-CN"/>
        </w:rPr>
        <w:t>入</w:t>
      </w:r>
      <w:r>
        <w:rPr>
          <w:rFonts w:hint="eastAsia" w:ascii="仿宋_GB2312" w:hAnsi="仿宋_GB2312" w:eastAsia="仿宋_GB2312" w:cs="仿宋_GB2312"/>
          <w:sz w:val="32"/>
          <w:szCs w:val="32"/>
          <w:lang w:eastAsia="zh-CN"/>
        </w:rPr>
        <w:t>事业人员</w:t>
      </w:r>
      <w:r>
        <w:rPr>
          <w:rFonts w:hint="eastAsia" w:ascii="仿宋_GB2312" w:hAnsi="仿宋_GB2312" w:eastAsia="仿宋_GB2312" w:cs="仿宋_GB2312"/>
          <w:sz w:val="32"/>
          <w:szCs w:val="32"/>
          <w:lang w:val="en-US" w:eastAsia="zh-CN"/>
        </w:rPr>
        <w:t>2人，行政人员1人</w:t>
      </w:r>
      <w:r>
        <w:rPr>
          <w:rFonts w:hint="eastAsia" w:ascii="仿宋_GB2312" w:hAnsi="仿宋_GB2312" w:eastAsia="仿宋_GB2312" w:cs="仿宋_GB2312"/>
          <w:sz w:val="32"/>
          <w:szCs w:val="32"/>
          <w:lang w:eastAsia="zh-CN"/>
        </w:rPr>
        <w:t>）。</w:t>
      </w:r>
    </w:p>
    <w:p w14:paraId="4AA5A401">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（二）当年取得的主要事业成效。</w:t>
      </w:r>
    </w:p>
    <w:p w14:paraId="7B65E1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2025年全年开展应急救护持证培训9期531人、普及培训29期12626人次。人道救助精准有效，推动“群团组织办实事”和县委工作报告民生任务清单落实，全年发放救助金149000元，救助困难群众79人；发放博爱物资价值82100元，受益群众3278人次；争取救助资金90000元，救助白血病患儿3名；积极对接山东中投慈善基金会等爱心企业和爱心人士，为全县594名贫困学子争取助学金701200元。全年共接收社会各界爱心人士捐赠款物3060000元，所有款物均按照捐赠人意愿完成移交。二是“三献”工作稳步推进。2025年发动1622人参与无偿献血，献血量441430ml。全年共采集109名造血干细胞志愿者血样入库；共动员109人成为人体遗体器官捐献志愿者。继2020年龙陵县首例造血干细胞捐献成功后，2025年第二例、第三例捐献成功，受到省市高度赞誉和社会广泛关注。三是网络募捐工作保持前列。扎实开展2025年“5·8人道公益日”网络募捐活动，共筹集善款882600元，其中线上网络筹款832600元，获得云南省县级万人捐款率全省第一名、捐款金额全省第五名的成绩，所筹资金全部用于助“一老一小”、助困、助学等方面。</w:t>
      </w:r>
    </w:p>
    <w:p w14:paraId="7C731DD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黑体" w:hAnsi="黑体" w:eastAsia="黑体" w:cs="黑体"/>
          <w:sz w:val="32"/>
          <w:szCs w:val="32"/>
        </w:rPr>
      </w:pPr>
      <w:bookmarkStart w:id="1" w:name="YS060102"/>
      <w:r>
        <w:rPr>
          <w:rFonts w:hint="eastAsia" w:ascii="黑体" w:hAnsi="黑体" w:eastAsia="黑体" w:cs="黑体"/>
          <w:sz w:val="32"/>
          <w:szCs w:val="32"/>
        </w:rPr>
        <w:t>二、收入支出预算执行情况分析</w:t>
      </w:r>
    </w:p>
    <w:bookmarkEnd w:id="1"/>
    <w:p w14:paraId="09676837">
      <w:pPr>
        <w:keepNext w:val="0"/>
        <w:keepLines w:val="0"/>
        <w:pageBreakBefore w:val="0"/>
        <w:kinsoku/>
        <w:wordWrap/>
        <w:overflowPunct/>
        <w:topLinePunct w:val="0"/>
        <w:autoSpaceDE/>
        <w:autoSpaceDN/>
        <w:bidi w:val="0"/>
        <w:adjustRightInd/>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（一）收入支出预算安排情况。</w:t>
      </w:r>
    </w:p>
    <w:p w14:paraId="3AB5AE44">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lang w:eastAsia="zh-CN"/>
        </w:rPr>
        <w:t>龙财社﹝20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1号文件，</w:t>
      </w:r>
      <w:r>
        <w:rPr>
          <w:rFonts w:hint="eastAsia" w:ascii="仿宋_GB2312" w:hAnsi="仿宋_GB2312" w:eastAsia="仿宋_GB2312" w:cs="仿宋_GB2312"/>
          <w:sz w:val="32"/>
          <w:szCs w:val="32"/>
          <w:lang w:val="en-US" w:eastAsia="zh-CN"/>
        </w:rPr>
        <w:t>2025年年初</w:t>
      </w:r>
      <w:r>
        <w:rPr>
          <w:rFonts w:hint="eastAsia" w:ascii="仿宋_GB2312" w:hAnsi="仿宋_GB2312" w:eastAsia="仿宋_GB2312" w:cs="仿宋_GB2312"/>
          <w:sz w:val="32"/>
          <w:szCs w:val="32"/>
          <w:lang w:eastAsia="zh-CN"/>
        </w:rPr>
        <w:t>安排预算收入合计</w:t>
      </w:r>
      <w:r>
        <w:rPr>
          <w:rFonts w:hint="eastAsia" w:ascii="仿宋_GB2312" w:hAnsi="仿宋_GB2312" w:eastAsia="仿宋_GB2312" w:cs="仿宋_GB2312"/>
          <w:sz w:val="32"/>
          <w:szCs w:val="32"/>
          <w:lang w:val="en-US" w:eastAsia="zh-CN"/>
        </w:rPr>
        <w:t>1024100.9</w:t>
      </w:r>
      <w:r>
        <w:rPr>
          <w:rFonts w:hint="eastAsia" w:ascii="仿宋_GB2312" w:hAnsi="仿宋_GB2312" w:eastAsia="仿宋_GB2312" w:cs="仿宋_GB2312"/>
          <w:sz w:val="32"/>
          <w:szCs w:val="32"/>
          <w:lang w:eastAsia="zh-CN"/>
        </w:rPr>
        <w:t>元，其中：</w:t>
      </w:r>
      <w:r>
        <w:rPr>
          <w:rFonts w:hint="eastAsia" w:ascii="仿宋_GB2312" w:hAnsi="仿宋_GB2312" w:eastAsia="仿宋_GB2312" w:cs="仿宋_GB2312"/>
          <w:sz w:val="32"/>
          <w:szCs w:val="32"/>
        </w:rPr>
        <w:t>财政拨款收入1014100.9</w:t>
      </w:r>
      <w:r>
        <w:rPr>
          <w:rFonts w:hint="eastAsia" w:ascii="仿宋_GB2312" w:hAnsi="仿宋_GB2312" w:eastAsia="仿宋_GB2312" w:cs="仿宋_GB2312"/>
          <w:sz w:val="32"/>
          <w:szCs w:val="32"/>
          <w:lang w:eastAsia="zh-CN"/>
        </w:rPr>
        <w:t>元，其他收入</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lang w:eastAsia="zh-CN"/>
        </w:rPr>
        <w:t>。与上年</w:t>
      </w:r>
      <w:r>
        <w:rPr>
          <w:rFonts w:hint="eastAsia" w:ascii="仿宋_GB2312" w:hAnsi="仿宋_GB2312" w:eastAsia="仿宋_GB2312" w:cs="仿宋_GB2312"/>
          <w:sz w:val="32"/>
          <w:szCs w:val="32"/>
          <w:lang w:val="en-US" w:eastAsia="zh-CN"/>
        </w:rPr>
        <w:t>769311.28</w:t>
      </w:r>
      <w:r>
        <w:rPr>
          <w:rFonts w:hint="eastAsia" w:ascii="仿宋_GB2312" w:hAnsi="仿宋_GB2312" w:eastAsia="仿宋_GB2312" w:cs="仿宋_GB2312"/>
          <w:sz w:val="32"/>
          <w:szCs w:val="32"/>
          <w:lang w:eastAsia="zh-CN"/>
        </w:rPr>
        <w:t>元对比增加</w:t>
      </w:r>
      <w:r>
        <w:rPr>
          <w:rFonts w:hint="eastAsia" w:ascii="宋体" w:hAnsi="宋体" w:eastAsia="仿宋_GB2312"/>
          <w:kern w:val="0"/>
          <w:sz w:val="32"/>
          <w:szCs w:val="32"/>
          <w:lang w:val="en-US" w:eastAsia="zh-CN"/>
        </w:rPr>
        <w:t>254789.62</w:t>
      </w:r>
      <w:r>
        <w:rPr>
          <w:rFonts w:hint="eastAsia" w:ascii="宋体" w:hAnsi="宋体" w:eastAsia="仿宋_GB2312"/>
          <w:kern w:val="0"/>
          <w:sz w:val="32"/>
          <w:szCs w:val="32"/>
        </w:rPr>
        <w:t>元</w:t>
      </w:r>
      <w:r>
        <w:rPr>
          <w:rFonts w:hint="eastAsia" w:ascii="仿宋_GB2312" w:hAnsi="仿宋_GB2312" w:eastAsia="仿宋_GB2312" w:cs="仿宋_GB2312"/>
          <w:sz w:val="32"/>
          <w:szCs w:val="32"/>
          <w:lang w:val="en-US" w:eastAsia="zh-CN"/>
        </w:rPr>
        <w:t>，增长33.12%。2025年年初预算数较上年年初预算数下降</w:t>
      </w:r>
      <w:r>
        <w:rPr>
          <w:rFonts w:hint="eastAsia" w:ascii="宋体" w:hAnsi="宋体" w:eastAsia="仿宋_GB2312"/>
          <w:kern w:val="0"/>
          <w:sz w:val="32"/>
          <w:szCs w:val="32"/>
          <w:lang w:val="en-US" w:eastAsia="zh-CN"/>
        </w:rPr>
        <w:t>254789.62</w:t>
      </w:r>
      <w:r>
        <w:rPr>
          <w:rFonts w:hint="eastAsia" w:ascii="仿宋_GB2312" w:hAnsi="仿宋_GB2312" w:eastAsia="仿宋_GB2312" w:cs="仿宋_GB2312"/>
          <w:sz w:val="32"/>
          <w:szCs w:val="32"/>
          <w:lang w:val="en-US" w:eastAsia="zh-CN"/>
        </w:rPr>
        <w:t>元。</w:t>
      </w:r>
      <w:r>
        <w:rPr>
          <w:rFonts w:hint="eastAsia" w:ascii="宋体" w:hAnsi="宋体" w:eastAsia="仿宋_GB2312"/>
          <w:kern w:val="0"/>
          <w:sz w:val="32"/>
          <w:szCs w:val="32"/>
          <w:lang w:eastAsia="zh-CN"/>
        </w:rPr>
        <w:t>增长</w:t>
      </w:r>
      <w:r>
        <w:rPr>
          <w:rFonts w:hint="eastAsia" w:ascii="宋体" w:hAnsi="宋体" w:eastAsia="仿宋_GB2312"/>
          <w:kern w:val="0"/>
          <w:sz w:val="32"/>
          <w:szCs w:val="32"/>
        </w:rPr>
        <w:t>原因是</w:t>
      </w:r>
      <w:r>
        <w:rPr>
          <w:rFonts w:hint="eastAsia" w:ascii="宋体" w:hAnsi="宋体" w:eastAsia="仿宋_GB2312"/>
          <w:kern w:val="0"/>
          <w:sz w:val="32"/>
          <w:szCs w:val="32"/>
          <w:lang w:val="en-US" w:eastAsia="zh-CN"/>
        </w:rPr>
        <w:t>2024年下半年调入行政人员1人，事业人员2人</w:t>
      </w:r>
      <w:r>
        <w:rPr>
          <w:rFonts w:hint="eastAsia" w:ascii="宋体" w:hAnsi="宋体" w:eastAsia="仿宋_GB2312"/>
          <w:kern w:val="0"/>
          <w:sz w:val="32"/>
          <w:szCs w:val="32"/>
          <w:lang w:eastAsia="zh-CN"/>
        </w:rPr>
        <w:t>工资福利及公用经费增加。</w:t>
      </w:r>
    </w:p>
    <w:p w14:paraId="7F371155">
      <w:pPr>
        <w:keepNext w:val="0"/>
        <w:keepLines w:val="0"/>
        <w:pageBreakBefore w:val="0"/>
        <w:numPr>
          <w:ilvl w:val="0"/>
          <w:numId w:val="1"/>
        </w:numPr>
        <w:kinsoku/>
        <w:wordWrap/>
        <w:overflowPunct/>
        <w:topLinePunct w:val="0"/>
        <w:autoSpaceDE/>
        <w:autoSpaceDN/>
        <w:bidi w:val="0"/>
        <w:adjustRightInd/>
        <w:spacing w:line="520" w:lineRule="exact"/>
        <w:ind w:firstLine="643" w:firstLineChars="200"/>
        <w:jc w:val="both"/>
        <w:textAlignment w:val="auto"/>
        <w:rPr>
          <w:rFonts w:hint="eastAsia" w:ascii="楷体_GB2312" w:hAnsi="仿宋" w:eastAsia="楷体_GB2312" w:cs="Times New Roman"/>
          <w:b/>
          <w:sz w:val="32"/>
          <w:szCs w:val="32"/>
          <w:lang w:eastAsia="zh-CN"/>
        </w:rPr>
      </w:pPr>
      <w:r>
        <w:rPr>
          <w:rFonts w:hint="eastAsia" w:ascii="楷体_GB2312" w:hAnsi="仿宋" w:eastAsia="楷体_GB2312" w:cs="Times New Roman"/>
          <w:b/>
          <w:sz w:val="32"/>
          <w:szCs w:val="32"/>
          <w:lang w:eastAsia="zh-CN"/>
        </w:rPr>
        <w:t>收入支出预算执行情况。</w:t>
      </w:r>
    </w:p>
    <w:p w14:paraId="50442163">
      <w:pPr>
        <w:keepNext w:val="0"/>
        <w:keepLines w:val="0"/>
        <w:pageBreakBefore w:val="0"/>
        <w:kinsoku/>
        <w:wordWrap/>
        <w:overflowPunct/>
        <w:topLinePunct w:val="0"/>
        <w:autoSpaceDE/>
        <w:autoSpaceDN/>
        <w:bidi w:val="0"/>
        <w:adjustRightInd/>
        <w:spacing w:line="520" w:lineRule="exact"/>
        <w:ind w:firstLine="420" w:firstLineChars="200"/>
        <w:jc w:val="both"/>
        <w:textAlignment w:val="auto"/>
        <w:rPr>
          <w:rFonts w:hint="eastAsia" w:ascii="仿宋_GB2312" w:hAnsi="仿宋_GB2312" w:eastAsia="仿宋_GB2312" w:cs="仿宋_GB2312"/>
          <w:sz w:val="30"/>
          <w:szCs w:val="30"/>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lang w:eastAsia="zh-CN"/>
        </w:rPr>
        <w:t>预算执行收入支出合计</w:t>
      </w:r>
      <w:r>
        <w:rPr>
          <w:rFonts w:hint="eastAsia" w:ascii="仿宋_GB2312" w:hAnsi="仿宋_GB2312" w:eastAsia="仿宋_GB2312" w:cs="仿宋_GB2312"/>
          <w:sz w:val="32"/>
          <w:szCs w:val="32"/>
          <w:lang w:val="en-US" w:eastAsia="zh-CN"/>
        </w:rPr>
        <w:t>1239861.41元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kern w:val="0"/>
          <w:sz w:val="32"/>
          <w:szCs w:val="32"/>
        </w:rPr>
        <w:t>基本</w:t>
      </w:r>
      <w:r>
        <w:rPr>
          <w:rFonts w:hint="eastAsia" w:ascii="仿宋_GB2312" w:hAnsi="仿宋_GB2312" w:eastAsia="仿宋_GB2312" w:cs="仿宋_GB2312"/>
          <w:sz w:val="32"/>
          <w:szCs w:val="32"/>
          <w:lang w:val="en-US" w:eastAsia="zh-CN"/>
        </w:rPr>
        <w:t>支出1136763.41元</w:t>
      </w:r>
      <w:r>
        <w:rPr>
          <w:rFonts w:hint="eastAsia" w:ascii="仿宋_GB2312" w:hAnsi="仿宋_GB2312" w:eastAsia="仿宋_GB2312" w:cs="仿宋_GB2312"/>
          <w:kern w:val="0"/>
          <w:sz w:val="32"/>
          <w:szCs w:val="32"/>
        </w:rPr>
        <w:t>，占总支出的</w:t>
      </w:r>
      <w:r>
        <w:rPr>
          <w:rFonts w:hint="eastAsia" w:ascii="仿宋_GB2312" w:hAnsi="仿宋_GB2312" w:eastAsia="仿宋_GB2312" w:cs="仿宋_GB2312"/>
          <w:sz w:val="32"/>
          <w:szCs w:val="32"/>
          <w:lang w:val="en-US" w:eastAsia="zh-CN"/>
        </w:rPr>
        <w:t>91.68</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sz w:val="32"/>
          <w:szCs w:val="32"/>
          <w:lang w:val="en-US" w:eastAsia="zh-CN"/>
        </w:rPr>
        <w:t>103098.00</w:t>
      </w:r>
      <w:r>
        <w:rPr>
          <w:rFonts w:hint="eastAsia" w:ascii="仿宋_GB2312" w:hAnsi="仿宋_GB2312" w:eastAsia="仿宋_GB2312" w:cs="仿宋_GB2312"/>
          <w:kern w:val="0"/>
          <w:sz w:val="32"/>
          <w:szCs w:val="32"/>
        </w:rPr>
        <w:t>元，占总支出的</w:t>
      </w:r>
      <w:r>
        <w:rPr>
          <w:rFonts w:hint="eastAsia" w:ascii="仿宋_GB2312" w:hAnsi="仿宋_GB2312" w:eastAsia="仿宋_GB2312" w:cs="仿宋_GB2312"/>
          <w:sz w:val="32"/>
          <w:szCs w:val="32"/>
          <w:lang w:val="en-US" w:eastAsia="zh-CN"/>
        </w:rPr>
        <w:t>8.32</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预算执行总收入支出与上年</w:t>
      </w:r>
      <w:r>
        <w:rPr>
          <w:rFonts w:hint="eastAsia" w:ascii="仿宋_GB2312" w:hAnsi="仿宋_GB2312" w:eastAsia="仿宋_GB2312" w:cs="仿宋_GB2312"/>
          <w:sz w:val="32"/>
          <w:szCs w:val="32"/>
          <w:lang w:val="en-US" w:eastAsia="zh-CN"/>
        </w:rPr>
        <w:t>887662.29</w:t>
      </w:r>
      <w:r>
        <w:rPr>
          <w:rFonts w:hint="eastAsia" w:ascii="仿宋_GB2312" w:hAnsi="仿宋_GB2312" w:eastAsia="仿宋_GB2312" w:cs="仿宋_GB2312"/>
          <w:sz w:val="32"/>
          <w:szCs w:val="32"/>
          <w:lang w:eastAsia="zh-CN"/>
        </w:rPr>
        <w:t>元对比增加</w:t>
      </w:r>
      <w:r>
        <w:rPr>
          <w:rFonts w:hint="eastAsia" w:ascii="仿宋_GB2312" w:hAnsi="仿宋_GB2312" w:eastAsia="仿宋_GB2312" w:cs="仿宋_GB2312"/>
          <w:sz w:val="32"/>
          <w:szCs w:val="32"/>
          <w:lang w:val="en-US" w:eastAsia="zh-CN"/>
        </w:rPr>
        <w:t>352199.12元，增长39.68%，其中：财政拨款支出增加352199.12元，增长39.68%。</w:t>
      </w:r>
      <w:r>
        <w:rPr>
          <w:rFonts w:hint="eastAsia" w:ascii="宋体" w:hAnsi="宋体" w:eastAsia="仿宋_GB2312"/>
          <w:kern w:val="0"/>
          <w:sz w:val="32"/>
          <w:szCs w:val="32"/>
          <w:lang w:eastAsia="zh-CN"/>
        </w:rPr>
        <w:t>增长</w:t>
      </w:r>
      <w:r>
        <w:rPr>
          <w:rFonts w:hint="eastAsia" w:ascii="宋体" w:hAnsi="宋体" w:eastAsia="仿宋_GB2312"/>
          <w:kern w:val="0"/>
          <w:sz w:val="32"/>
          <w:szCs w:val="32"/>
        </w:rPr>
        <w:t>原因是</w:t>
      </w:r>
      <w:r>
        <w:rPr>
          <w:rFonts w:hint="eastAsia" w:ascii="宋体" w:hAnsi="宋体" w:eastAsia="仿宋_GB2312"/>
          <w:kern w:val="0"/>
          <w:sz w:val="32"/>
          <w:szCs w:val="32"/>
          <w:lang w:val="en-US" w:eastAsia="zh-CN"/>
        </w:rPr>
        <w:t>2024年下半年调入行政人员1人，事业人员2人</w:t>
      </w:r>
      <w:r>
        <w:rPr>
          <w:rFonts w:hint="eastAsia" w:ascii="宋体" w:hAnsi="宋体" w:eastAsia="仿宋_GB2312"/>
          <w:kern w:val="0"/>
          <w:sz w:val="32"/>
          <w:szCs w:val="32"/>
          <w:lang w:eastAsia="zh-CN"/>
        </w:rPr>
        <w:t>工资福利及公用经费增加</w:t>
      </w:r>
      <w:r>
        <w:rPr>
          <w:rFonts w:hint="eastAsia" w:ascii="仿宋_GB2312" w:hAnsi="仿宋_GB2312" w:eastAsia="仿宋_GB2312" w:cs="仿宋_GB2312"/>
          <w:sz w:val="32"/>
          <w:szCs w:val="32"/>
          <w:highlight w:val="none"/>
          <w:lang w:val="en-US" w:eastAsia="zh-CN"/>
        </w:rPr>
        <w:t>。</w:t>
      </w:r>
    </w:p>
    <w:p w14:paraId="5EB6D6EF">
      <w:pPr>
        <w:keepNext w:val="0"/>
        <w:keepLines w:val="0"/>
        <w:pageBreakBefore w:val="0"/>
        <w:numPr>
          <w:ilvl w:val="0"/>
          <w:numId w:val="0"/>
        </w:numPr>
        <w:kinsoku/>
        <w:wordWrap/>
        <w:overflowPunct/>
        <w:topLinePunct w:val="0"/>
        <w:autoSpaceDE/>
        <w:autoSpaceDN/>
        <w:bidi w:val="0"/>
        <w:adjustRightInd/>
        <w:spacing w:line="520" w:lineRule="exact"/>
        <w:ind w:firstLine="643" w:firstLineChars="200"/>
        <w:jc w:val="both"/>
        <w:textAlignment w:val="auto"/>
        <w:rPr>
          <w:rFonts w:hint="eastAsia" w:ascii="楷体_GB2312" w:hAnsi="仿宋" w:eastAsia="楷体_GB2312" w:cs="Times New Roman"/>
          <w:b/>
          <w:sz w:val="32"/>
          <w:szCs w:val="32"/>
          <w:lang w:eastAsia="zh-CN"/>
        </w:rPr>
      </w:pPr>
      <w:r>
        <w:rPr>
          <w:rFonts w:hint="eastAsia" w:ascii="楷体_GB2312" w:hAnsi="仿宋" w:eastAsia="楷体_GB2312" w:cs="Times New Roman"/>
          <w:b/>
          <w:sz w:val="32"/>
          <w:szCs w:val="32"/>
          <w:lang w:val="en-US" w:eastAsia="zh-CN"/>
        </w:rPr>
        <w:t>1、</w:t>
      </w:r>
      <w:r>
        <w:rPr>
          <w:rFonts w:hint="eastAsia" w:ascii="楷体_GB2312" w:hAnsi="仿宋" w:eastAsia="楷体_GB2312" w:cs="Times New Roman"/>
          <w:b/>
          <w:sz w:val="32"/>
          <w:szCs w:val="32"/>
          <w:lang w:eastAsia="zh-CN"/>
        </w:rPr>
        <w:t>收入支出与预算对比分析。</w:t>
      </w:r>
    </w:p>
    <w:p w14:paraId="336C30B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（1）预、决算差异情况：20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lang w:eastAsia="zh-CN"/>
        </w:rPr>
        <w:t>年年初收入支出预算数为</w:t>
      </w:r>
      <w:r>
        <w:rPr>
          <w:rFonts w:hint="eastAsia" w:ascii="仿宋_GB2312" w:hAnsi="仿宋_GB2312" w:eastAsia="仿宋_GB2312" w:cs="仿宋_GB2312"/>
          <w:sz w:val="32"/>
          <w:szCs w:val="32"/>
          <w:lang w:val="en-US" w:eastAsia="zh-CN"/>
        </w:rPr>
        <w:t>1024100.90</w:t>
      </w:r>
      <w:r>
        <w:rPr>
          <w:rFonts w:hint="eastAsia" w:ascii="仿宋_GB2312" w:hAnsi="仿宋_GB2312" w:eastAsia="仿宋_GB2312" w:cs="仿宋_GB2312"/>
          <w:sz w:val="32"/>
          <w:szCs w:val="32"/>
          <w:lang w:eastAsia="zh-CN"/>
        </w:rPr>
        <w:t>元，决算数为</w:t>
      </w:r>
      <w:r>
        <w:rPr>
          <w:rFonts w:hint="eastAsia" w:ascii="仿宋_GB2312" w:hAnsi="仿宋_GB2312" w:eastAsia="仿宋_GB2312" w:cs="仿宋_GB2312"/>
          <w:sz w:val="32"/>
          <w:szCs w:val="32"/>
          <w:lang w:val="en-US" w:eastAsia="zh-CN"/>
        </w:rPr>
        <w:t>1239861.41</w:t>
      </w:r>
      <w:r>
        <w:rPr>
          <w:rFonts w:hint="eastAsia" w:ascii="仿宋_GB2312" w:hAnsi="仿宋_GB2312" w:eastAsia="仿宋_GB2312" w:cs="仿宋_GB2312"/>
          <w:sz w:val="32"/>
          <w:szCs w:val="32"/>
          <w:lang w:eastAsia="zh-CN"/>
        </w:rPr>
        <w:t>元，差异数</w:t>
      </w:r>
      <w:r>
        <w:rPr>
          <w:rFonts w:hint="eastAsia" w:ascii="仿宋_GB2312" w:hAnsi="仿宋_GB2312" w:eastAsia="仿宋_GB2312" w:cs="仿宋_GB2312"/>
          <w:sz w:val="32"/>
          <w:szCs w:val="32"/>
          <w:lang w:val="en-US" w:eastAsia="zh-CN"/>
        </w:rPr>
        <w:t>215760.51</w:t>
      </w:r>
      <w:r>
        <w:rPr>
          <w:rFonts w:hint="eastAsia" w:ascii="仿宋_GB2312" w:hAnsi="仿宋_GB2312" w:eastAsia="仿宋_GB2312" w:cs="仿宋_GB2312"/>
          <w:sz w:val="32"/>
          <w:szCs w:val="32"/>
          <w:lang w:eastAsia="zh-CN"/>
        </w:rPr>
        <w:t>元，差异率</w:t>
      </w:r>
      <w:r>
        <w:rPr>
          <w:rFonts w:hint="eastAsia" w:ascii="仿宋_GB2312" w:hAnsi="仿宋_GB2312" w:eastAsia="仿宋_GB2312" w:cs="仿宋_GB2312"/>
          <w:sz w:val="32"/>
          <w:szCs w:val="32"/>
          <w:lang w:val="en-US" w:eastAsia="zh-CN"/>
        </w:rPr>
        <w:t>21.07%</w:t>
      </w:r>
      <w:r>
        <w:rPr>
          <w:rFonts w:hint="eastAsia" w:ascii="仿宋_GB2312" w:hAnsi="仿宋_GB2312" w:eastAsia="仿宋_GB2312" w:cs="仿宋_GB2312"/>
          <w:sz w:val="32"/>
          <w:szCs w:val="32"/>
          <w:lang w:eastAsia="zh-CN"/>
        </w:rPr>
        <w:t>。</w:t>
      </w:r>
    </w:p>
    <w:p w14:paraId="442F7958">
      <w:pPr>
        <w:keepNext w:val="0"/>
        <w:keepLines w:val="0"/>
        <w:pageBreakBefore w:val="0"/>
        <w:numPr>
          <w:ilvl w:val="0"/>
          <w:numId w:val="0"/>
        </w:numPr>
        <w:kinsoku/>
        <w:wordWrap/>
        <w:overflowPunct/>
        <w:topLinePunct w:val="0"/>
        <w:autoSpaceDE/>
        <w:autoSpaceDN/>
        <w:bidi w:val="0"/>
        <w:adjustRightInd/>
        <w:spacing w:line="520" w:lineRule="exact"/>
        <w:ind w:left="360" w:leftChars="0"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收入支出与预算对比分析</w:t>
      </w:r>
      <w:r>
        <w:rPr>
          <w:rFonts w:hint="eastAsia" w:ascii="仿宋_GB2312" w:hAnsi="仿宋_GB2312" w:eastAsia="仿宋_GB2312" w:cs="仿宋_GB2312"/>
          <w:b w:val="0"/>
          <w:bCs/>
          <w:kern w:val="0"/>
          <w:sz w:val="32"/>
          <w:szCs w:val="32"/>
          <w:lang w:eastAsia="zh-CN"/>
        </w:rPr>
        <w:t>表</w:t>
      </w:r>
      <w:r>
        <w:rPr>
          <w:rFonts w:hint="eastAsia" w:ascii="仿宋_GB2312" w:hAnsi="仿宋_GB2312" w:eastAsia="仿宋_GB2312" w:cs="仿宋_GB2312"/>
          <w:kern w:val="0"/>
          <w:sz w:val="32"/>
          <w:szCs w:val="32"/>
        </w:rPr>
        <w:t>（单位：元）</w:t>
      </w:r>
    </w:p>
    <w:p w14:paraId="4CBA15DB">
      <w:pPr>
        <w:keepNext w:val="0"/>
        <w:keepLines w:val="0"/>
        <w:pageBreakBefore w:val="0"/>
        <w:numPr>
          <w:ilvl w:val="0"/>
          <w:numId w:val="0"/>
        </w:numPr>
        <w:kinsoku/>
        <w:wordWrap/>
        <w:overflowPunct/>
        <w:topLinePunct w:val="0"/>
        <w:autoSpaceDE/>
        <w:autoSpaceDN/>
        <w:bidi w:val="0"/>
        <w:adjustRightInd/>
        <w:spacing w:line="520" w:lineRule="exact"/>
        <w:ind w:left="360" w:leftChars="0" w:firstLine="320" w:firstLineChars="100"/>
        <w:rPr>
          <w:rFonts w:hint="eastAsia" w:ascii="仿宋_GB2312" w:hAnsi="仿宋_GB2312" w:eastAsia="仿宋_GB2312" w:cs="仿宋_GB2312"/>
          <w:kern w:val="0"/>
          <w:sz w:val="32"/>
          <w:szCs w:val="32"/>
        </w:rPr>
      </w:pPr>
    </w:p>
    <w:tbl>
      <w:tblPr>
        <w:tblStyle w:val="13"/>
        <w:tblW w:w="8233"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1884"/>
        <w:gridCol w:w="1983"/>
        <w:gridCol w:w="1900"/>
      </w:tblGrid>
      <w:tr w14:paraId="3872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7E4AE07F">
            <w:pPr>
              <w:keepNext w:val="0"/>
              <w:keepLines w:val="0"/>
              <w:pageBreakBefore w:val="0"/>
              <w:kinsoku/>
              <w:wordWrap/>
              <w:overflowPunct/>
              <w:topLinePunct w:val="0"/>
              <w:autoSpaceDE/>
              <w:autoSpaceDN/>
              <w:bidi w:val="0"/>
              <w:adjustRightInd/>
              <w:spacing w:line="520" w:lineRule="exact"/>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支出功能科目</w:t>
            </w:r>
          </w:p>
        </w:tc>
        <w:tc>
          <w:tcPr>
            <w:tcW w:w="1884" w:type="dxa"/>
            <w:noWrap w:val="0"/>
            <w:vAlign w:val="top"/>
          </w:tcPr>
          <w:p w14:paraId="6E8FB83D">
            <w:pPr>
              <w:keepNext w:val="0"/>
              <w:keepLines w:val="0"/>
              <w:pageBreakBefore w:val="0"/>
              <w:kinsoku/>
              <w:wordWrap/>
              <w:overflowPunct/>
              <w:topLinePunct w:val="0"/>
              <w:autoSpaceDE/>
              <w:autoSpaceDN/>
              <w:bidi w:val="0"/>
              <w:adjustRightInd/>
              <w:spacing w:line="520" w:lineRule="exact"/>
              <w:jc w:val="center"/>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预算</w:t>
            </w:r>
            <w:r>
              <w:rPr>
                <w:rFonts w:hint="eastAsia" w:ascii="仿宋_GB2312" w:hAnsi="仿宋_GB2312" w:eastAsia="仿宋_GB2312" w:cs="仿宋_GB2312"/>
                <w:b w:val="0"/>
                <w:bCs w:val="0"/>
                <w:kern w:val="0"/>
                <w:sz w:val="32"/>
                <w:szCs w:val="32"/>
                <w:lang w:eastAsia="zh-CN"/>
              </w:rPr>
              <w:t>安排数</w:t>
            </w:r>
          </w:p>
        </w:tc>
        <w:tc>
          <w:tcPr>
            <w:tcW w:w="1983" w:type="dxa"/>
            <w:noWrap w:val="0"/>
            <w:vAlign w:val="top"/>
          </w:tcPr>
          <w:p w14:paraId="5BE39E96">
            <w:pPr>
              <w:keepNext w:val="0"/>
              <w:keepLines w:val="0"/>
              <w:pageBreakBefore w:val="0"/>
              <w:kinsoku/>
              <w:wordWrap/>
              <w:overflowPunct/>
              <w:topLinePunct w:val="0"/>
              <w:autoSpaceDE/>
              <w:autoSpaceDN/>
              <w:bidi w:val="0"/>
              <w:adjustRightInd/>
              <w:spacing w:line="520" w:lineRule="exact"/>
              <w:jc w:val="center"/>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预算执行数</w:t>
            </w:r>
          </w:p>
        </w:tc>
        <w:tc>
          <w:tcPr>
            <w:tcW w:w="1900" w:type="dxa"/>
            <w:noWrap w:val="0"/>
            <w:vAlign w:val="top"/>
          </w:tcPr>
          <w:p w14:paraId="38B2C90E">
            <w:pPr>
              <w:keepNext w:val="0"/>
              <w:keepLines w:val="0"/>
              <w:pageBreakBefore w:val="0"/>
              <w:kinsoku/>
              <w:wordWrap/>
              <w:overflowPunct/>
              <w:topLinePunct w:val="0"/>
              <w:autoSpaceDE/>
              <w:autoSpaceDN/>
              <w:bidi w:val="0"/>
              <w:adjustRightInd/>
              <w:spacing w:line="520" w:lineRule="exact"/>
              <w:jc w:val="center"/>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kern w:val="0"/>
                <w:sz w:val="32"/>
                <w:szCs w:val="32"/>
                <w:lang w:eastAsia="zh-CN"/>
              </w:rPr>
              <w:t>差异数</w:t>
            </w:r>
          </w:p>
        </w:tc>
      </w:tr>
      <w:tr w14:paraId="6CAC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0E057454">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color w:val="000000"/>
                <w:kern w:val="0"/>
                <w:sz w:val="32"/>
                <w:szCs w:val="32"/>
                <w:lang w:eastAsia="zh-CN"/>
              </w:rPr>
            </w:pPr>
            <w:r>
              <w:rPr>
                <w:rFonts w:hint="eastAsia" w:ascii="仿宋_GB2312" w:hAnsi="仿宋_GB2312" w:eastAsia="仿宋_GB2312" w:cs="仿宋_GB2312"/>
                <w:b w:val="0"/>
                <w:bCs/>
                <w:color w:val="000000"/>
                <w:kern w:val="0"/>
                <w:sz w:val="32"/>
                <w:szCs w:val="32"/>
                <w:lang w:eastAsia="zh-CN"/>
              </w:rPr>
              <w:t>本年收入</w:t>
            </w:r>
          </w:p>
        </w:tc>
        <w:tc>
          <w:tcPr>
            <w:tcW w:w="1884" w:type="dxa"/>
            <w:noWrap w:val="0"/>
            <w:vAlign w:val="center"/>
          </w:tcPr>
          <w:p w14:paraId="3AAAE2E5">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sz w:val="32"/>
                <w:szCs w:val="32"/>
                <w:lang w:val="en-US" w:eastAsia="zh-CN"/>
              </w:rPr>
              <w:t>1024100.90</w:t>
            </w:r>
          </w:p>
        </w:tc>
        <w:tc>
          <w:tcPr>
            <w:tcW w:w="1983" w:type="dxa"/>
            <w:noWrap w:val="0"/>
            <w:vAlign w:val="center"/>
          </w:tcPr>
          <w:p w14:paraId="32C7D707">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sz w:val="32"/>
                <w:szCs w:val="32"/>
                <w:lang w:val="en-US" w:eastAsia="zh-CN"/>
              </w:rPr>
              <w:t>1239861.41</w:t>
            </w:r>
          </w:p>
        </w:tc>
        <w:tc>
          <w:tcPr>
            <w:tcW w:w="1900" w:type="dxa"/>
            <w:noWrap w:val="0"/>
            <w:vAlign w:val="center"/>
          </w:tcPr>
          <w:p w14:paraId="0A53F684">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default" w:ascii="仿宋_GB2312" w:hAnsi="仿宋_GB2312" w:eastAsia="仿宋_GB2312" w:cs="仿宋_GB2312"/>
                <w:kern w:val="0"/>
                <w:sz w:val="32"/>
                <w:szCs w:val="32"/>
                <w:lang w:val="en-US" w:eastAsia="zh-CN"/>
              </w:rPr>
            </w:pPr>
            <w:r>
              <w:rPr>
                <w:rFonts w:hint="default" w:ascii="仿宋_GB2312" w:hAnsi="仿宋_GB2312" w:eastAsia="仿宋_GB2312" w:cs="仿宋_GB2312"/>
                <w:kern w:val="0"/>
                <w:sz w:val="32"/>
                <w:szCs w:val="32"/>
                <w:lang w:val="en-US" w:eastAsia="zh-CN"/>
              </w:rPr>
              <w:t>215760.51</w:t>
            </w:r>
          </w:p>
        </w:tc>
      </w:tr>
      <w:tr w14:paraId="07F7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466" w:type="dxa"/>
            <w:noWrap w:val="0"/>
            <w:vAlign w:val="top"/>
          </w:tcPr>
          <w:p w14:paraId="58ADB80C">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eastAsia="zh-CN"/>
              </w:rPr>
            </w:pPr>
            <w:r>
              <w:rPr>
                <w:rFonts w:hint="eastAsia" w:ascii="仿宋_GB2312" w:hAnsi="仿宋_GB2312" w:eastAsia="仿宋_GB2312" w:cs="仿宋_GB2312"/>
                <w:b w:val="0"/>
                <w:bCs/>
                <w:kern w:val="0"/>
                <w:sz w:val="32"/>
                <w:szCs w:val="32"/>
                <w:lang w:eastAsia="zh-CN"/>
              </w:rPr>
              <w:t>其中：人员经费</w:t>
            </w:r>
          </w:p>
        </w:tc>
        <w:tc>
          <w:tcPr>
            <w:tcW w:w="1884" w:type="dxa"/>
            <w:shd w:val="clear"/>
            <w:noWrap w:val="0"/>
            <w:vAlign w:val="center"/>
          </w:tcPr>
          <w:p w14:paraId="088F3000">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rPr>
              <w:t>830444.90</w:t>
            </w:r>
          </w:p>
        </w:tc>
        <w:tc>
          <w:tcPr>
            <w:tcW w:w="1983" w:type="dxa"/>
            <w:noWrap w:val="0"/>
            <w:vAlign w:val="center"/>
          </w:tcPr>
          <w:p w14:paraId="22969899">
            <w:pPr>
              <w:keepNext w:val="0"/>
              <w:keepLines w:val="0"/>
              <w:pageBreakBefore w:val="0"/>
              <w:kinsoku/>
              <w:wordWrap/>
              <w:overflowPunct/>
              <w:topLinePunct w:val="0"/>
              <w:autoSpaceDE/>
              <w:autoSpaceDN/>
              <w:bidi w:val="0"/>
              <w:adjustRightInd/>
              <w:spacing w:line="520" w:lineRule="exact"/>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1054408.41</w:t>
            </w:r>
          </w:p>
        </w:tc>
        <w:tc>
          <w:tcPr>
            <w:tcW w:w="1900" w:type="dxa"/>
            <w:noWrap w:val="0"/>
            <w:vAlign w:val="center"/>
          </w:tcPr>
          <w:p w14:paraId="464F8E87">
            <w:pPr>
              <w:keepNext w:val="0"/>
              <w:keepLines w:val="0"/>
              <w:pageBreakBefore w:val="0"/>
              <w:kinsoku/>
              <w:wordWrap/>
              <w:overflowPunct/>
              <w:topLinePunct w:val="0"/>
              <w:autoSpaceDE/>
              <w:autoSpaceDN/>
              <w:bidi w:val="0"/>
              <w:adjustRightInd/>
              <w:spacing w:line="520" w:lineRule="exact"/>
              <w:jc w:val="right"/>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223963.51</w:t>
            </w:r>
          </w:p>
        </w:tc>
      </w:tr>
      <w:tr w14:paraId="6467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6E276C3B">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 xml:space="preserve">      公用经费</w:t>
            </w:r>
          </w:p>
        </w:tc>
        <w:tc>
          <w:tcPr>
            <w:tcW w:w="1884" w:type="dxa"/>
            <w:shd w:val="clear"/>
            <w:noWrap w:val="0"/>
            <w:vAlign w:val="center"/>
          </w:tcPr>
          <w:p w14:paraId="15DA5924">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rPr>
              <w:t>93656.00</w:t>
            </w:r>
          </w:p>
        </w:tc>
        <w:tc>
          <w:tcPr>
            <w:tcW w:w="1983" w:type="dxa"/>
            <w:noWrap w:val="0"/>
            <w:vAlign w:val="center"/>
          </w:tcPr>
          <w:p w14:paraId="0FAD94FB">
            <w:pPr>
              <w:keepNext w:val="0"/>
              <w:keepLines w:val="0"/>
              <w:pageBreakBefore w:val="0"/>
              <w:kinsoku/>
              <w:wordWrap/>
              <w:overflowPunct/>
              <w:topLinePunct w:val="0"/>
              <w:autoSpaceDE/>
              <w:autoSpaceDN/>
              <w:bidi w:val="0"/>
              <w:adjustRightInd/>
              <w:spacing w:line="520" w:lineRule="exact"/>
              <w:jc w:val="righ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82355.00</w:t>
            </w:r>
          </w:p>
        </w:tc>
        <w:tc>
          <w:tcPr>
            <w:tcW w:w="1900" w:type="dxa"/>
            <w:noWrap w:val="0"/>
            <w:vAlign w:val="center"/>
          </w:tcPr>
          <w:p w14:paraId="18763C76">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-11301.00</w:t>
            </w:r>
          </w:p>
        </w:tc>
      </w:tr>
      <w:tr w14:paraId="7986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7B3FBC12">
            <w:pPr>
              <w:keepNext w:val="0"/>
              <w:keepLines w:val="0"/>
              <w:pageBreakBefore w:val="0"/>
              <w:kinsoku/>
              <w:wordWrap/>
              <w:overflowPunct/>
              <w:topLinePunct w:val="0"/>
              <w:autoSpaceDE/>
              <w:autoSpaceDN/>
              <w:bidi w:val="0"/>
              <w:adjustRightInd/>
              <w:spacing w:line="520" w:lineRule="exact"/>
              <w:ind w:firstLine="960" w:firstLineChars="300"/>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项目经费</w:t>
            </w:r>
          </w:p>
        </w:tc>
        <w:tc>
          <w:tcPr>
            <w:tcW w:w="1884" w:type="dxa"/>
            <w:noWrap w:val="0"/>
            <w:vAlign w:val="center"/>
          </w:tcPr>
          <w:p w14:paraId="20A52EEE">
            <w:pPr>
              <w:keepNext w:val="0"/>
              <w:keepLines w:val="0"/>
              <w:pageBreakBefore w:val="0"/>
              <w:kinsoku/>
              <w:wordWrap/>
              <w:overflowPunct/>
              <w:topLinePunct w:val="0"/>
              <w:autoSpaceDE/>
              <w:autoSpaceDN/>
              <w:bidi w:val="0"/>
              <w:adjustRightInd/>
              <w:spacing w:line="520" w:lineRule="exact"/>
              <w:jc w:val="righ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100000.00</w:t>
            </w:r>
          </w:p>
        </w:tc>
        <w:tc>
          <w:tcPr>
            <w:tcW w:w="1983" w:type="dxa"/>
            <w:noWrap w:val="0"/>
            <w:vAlign w:val="center"/>
          </w:tcPr>
          <w:p w14:paraId="66C699F5">
            <w:pPr>
              <w:keepNext w:val="0"/>
              <w:keepLines w:val="0"/>
              <w:pageBreakBefore w:val="0"/>
              <w:kinsoku/>
              <w:wordWrap/>
              <w:overflowPunct/>
              <w:topLinePunct w:val="0"/>
              <w:autoSpaceDE/>
              <w:autoSpaceDN/>
              <w:bidi w:val="0"/>
              <w:adjustRightInd/>
              <w:spacing w:line="520" w:lineRule="exact"/>
              <w:jc w:val="righ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103098.00</w:t>
            </w:r>
          </w:p>
        </w:tc>
        <w:tc>
          <w:tcPr>
            <w:tcW w:w="1900" w:type="dxa"/>
            <w:noWrap w:val="0"/>
            <w:vAlign w:val="center"/>
          </w:tcPr>
          <w:p w14:paraId="793C4298">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3098.00</w:t>
            </w:r>
          </w:p>
        </w:tc>
      </w:tr>
      <w:tr w14:paraId="3454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32371EA0">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 xml:space="preserve">本年支出    </w:t>
            </w:r>
          </w:p>
        </w:tc>
        <w:tc>
          <w:tcPr>
            <w:tcW w:w="1884" w:type="dxa"/>
            <w:shd w:val="clear"/>
            <w:noWrap w:val="0"/>
            <w:vAlign w:val="center"/>
          </w:tcPr>
          <w:p w14:paraId="578A274F">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sz w:val="32"/>
                <w:szCs w:val="32"/>
                <w:lang w:val="en-US" w:eastAsia="zh-CN"/>
              </w:rPr>
              <w:t>1024100.90</w:t>
            </w:r>
          </w:p>
        </w:tc>
        <w:tc>
          <w:tcPr>
            <w:tcW w:w="1983" w:type="dxa"/>
            <w:shd w:val="clear"/>
            <w:noWrap w:val="0"/>
            <w:vAlign w:val="center"/>
          </w:tcPr>
          <w:p w14:paraId="32E60853">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sz w:val="32"/>
                <w:szCs w:val="32"/>
                <w:lang w:val="en-US" w:eastAsia="zh-CN"/>
              </w:rPr>
              <w:t>1239861.41</w:t>
            </w:r>
          </w:p>
        </w:tc>
        <w:tc>
          <w:tcPr>
            <w:tcW w:w="1900" w:type="dxa"/>
            <w:shd w:val="clear"/>
            <w:noWrap w:val="0"/>
            <w:vAlign w:val="center"/>
          </w:tcPr>
          <w:p w14:paraId="7B6BD7EC">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lang w:val="en-US" w:eastAsia="zh-CN"/>
              </w:rPr>
              <w:t>215760.51</w:t>
            </w:r>
          </w:p>
        </w:tc>
      </w:tr>
      <w:tr w14:paraId="01E6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66" w:type="dxa"/>
            <w:noWrap w:val="0"/>
            <w:vAlign w:val="top"/>
          </w:tcPr>
          <w:p w14:paraId="6E99E12B">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其中：人员支出</w:t>
            </w:r>
          </w:p>
        </w:tc>
        <w:tc>
          <w:tcPr>
            <w:tcW w:w="1884" w:type="dxa"/>
            <w:shd w:val="clear" w:color="auto" w:fill="auto"/>
            <w:noWrap w:val="0"/>
            <w:vAlign w:val="center"/>
          </w:tcPr>
          <w:p w14:paraId="75ACD8C9">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rPr>
              <w:t>830444.90</w:t>
            </w:r>
          </w:p>
        </w:tc>
        <w:tc>
          <w:tcPr>
            <w:tcW w:w="1983" w:type="dxa"/>
            <w:shd w:val="clear"/>
            <w:noWrap w:val="0"/>
            <w:vAlign w:val="center"/>
          </w:tcPr>
          <w:p w14:paraId="60E9C6C9">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105408.41</w:t>
            </w:r>
          </w:p>
        </w:tc>
        <w:tc>
          <w:tcPr>
            <w:tcW w:w="1900" w:type="dxa"/>
            <w:shd w:val="clear"/>
            <w:noWrap w:val="0"/>
            <w:vAlign w:val="center"/>
          </w:tcPr>
          <w:p w14:paraId="521301D3">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sz w:val="32"/>
                <w:szCs w:val="32"/>
                <w:lang w:val="en-US" w:eastAsia="zh-CN"/>
              </w:rPr>
              <w:t>223963.51</w:t>
            </w:r>
          </w:p>
        </w:tc>
      </w:tr>
      <w:tr w14:paraId="5510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1093B311">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 xml:space="preserve">      公用支出</w:t>
            </w:r>
          </w:p>
        </w:tc>
        <w:tc>
          <w:tcPr>
            <w:tcW w:w="1884" w:type="dxa"/>
            <w:shd w:val="clear" w:color="auto" w:fill="auto"/>
            <w:noWrap w:val="0"/>
            <w:vAlign w:val="center"/>
          </w:tcPr>
          <w:p w14:paraId="2B83970B">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rPr>
              <w:t>93656.00</w:t>
            </w:r>
          </w:p>
        </w:tc>
        <w:tc>
          <w:tcPr>
            <w:tcW w:w="1983" w:type="dxa"/>
            <w:shd w:val="clear"/>
            <w:noWrap w:val="0"/>
            <w:vAlign w:val="center"/>
          </w:tcPr>
          <w:p w14:paraId="2705E8F8">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rPr>
              <w:t>82355.00</w:t>
            </w:r>
          </w:p>
        </w:tc>
        <w:tc>
          <w:tcPr>
            <w:tcW w:w="1900" w:type="dxa"/>
            <w:shd w:val="clear"/>
            <w:noWrap w:val="0"/>
            <w:vAlign w:val="center"/>
          </w:tcPr>
          <w:p w14:paraId="29DE5BCF">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-11301.00</w:t>
            </w:r>
          </w:p>
        </w:tc>
      </w:tr>
      <w:tr w14:paraId="0200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6" w:type="dxa"/>
            <w:noWrap w:val="0"/>
            <w:vAlign w:val="top"/>
          </w:tcPr>
          <w:p w14:paraId="08288A17">
            <w:pPr>
              <w:keepNext w:val="0"/>
              <w:keepLines w:val="0"/>
              <w:pageBreakBefore w:val="0"/>
              <w:kinsoku/>
              <w:wordWrap/>
              <w:overflowPunct/>
              <w:topLinePunct w:val="0"/>
              <w:autoSpaceDE/>
              <w:autoSpaceDN/>
              <w:bidi w:val="0"/>
              <w:adjustRightInd/>
              <w:spacing w:line="520" w:lineRule="exact"/>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val="en-US" w:eastAsia="zh-CN"/>
              </w:rPr>
              <w:t xml:space="preserve">      项目支出</w:t>
            </w:r>
          </w:p>
        </w:tc>
        <w:tc>
          <w:tcPr>
            <w:tcW w:w="1884" w:type="dxa"/>
            <w:shd w:val="clear"/>
            <w:noWrap w:val="0"/>
            <w:vAlign w:val="center"/>
          </w:tcPr>
          <w:p w14:paraId="1637E24F">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rPr>
              <w:t>100000.00</w:t>
            </w:r>
          </w:p>
        </w:tc>
        <w:tc>
          <w:tcPr>
            <w:tcW w:w="1983" w:type="dxa"/>
            <w:shd w:val="clear"/>
            <w:noWrap w:val="0"/>
            <w:vAlign w:val="center"/>
          </w:tcPr>
          <w:p w14:paraId="6F0C93EA">
            <w:pPr>
              <w:keepNext w:val="0"/>
              <w:keepLines w:val="0"/>
              <w:pageBreakBefore w:val="0"/>
              <w:kinsoku/>
              <w:wordWrap/>
              <w:overflowPunct/>
              <w:topLinePunct w:val="0"/>
              <w:autoSpaceDE/>
              <w:autoSpaceDN/>
              <w:bidi w:val="0"/>
              <w:adjustRightInd/>
              <w:spacing w:line="520" w:lineRule="exact"/>
              <w:jc w:val="right"/>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rPr>
              <w:t>103098.00</w:t>
            </w:r>
          </w:p>
        </w:tc>
        <w:tc>
          <w:tcPr>
            <w:tcW w:w="1900" w:type="dxa"/>
            <w:shd w:val="clear"/>
            <w:noWrap w:val="0"/>
            <w:vAlign w:val="center"/>
          </w:tcPr>
          <w:p w14:paraId="2C0EA428">
            <w:pPr>
              <w:keepNext w:val="0"/>
              <w:keepLines w:val="0"/>
              <w:pageBreakBefore w:val="0"/>
              <w:widowControl/>
              <w:suppressLineNumbers w:val="0"/>
              <w:kinsoku/>
              <w:wordWrap/>
              <w:overflowPunct/>
              <w:topLinePunct w:val="0"/>
              <w:autoSpaceDE/>
              <w:autoSpaceDN/>
              <w:bidi w:val="0"/>
              <w:adjustRightInd/>
              <w:spacing w:line="520" w:lineRule="exact"/>
              <w:jc w:val="righ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3098.00</w:t>
            </w:r>
          </w:p>
        </w:tc>
      </w:tr>
    </w:tbl>
    <w:p w14:paraId="25AB9DD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宋体" w:hAnsi="宋体" w:eastAsia="方正仿宋_GBK" w:cs="方正仿宋_GBK"/>
          <w:sz w:val="30"/>
          <w:szCs w:val="30"/>
          <w:lang w:eastAsia="zh-CN"/>
        </w:rPr>
      </w:pPr>
      <w:r>
        <w:rPr>
          <w:rFonts w:hint="eastAsia" w:ascii="仿宋_GB2312" w:hAnsi="仿宋_GB2312" w:eastAsia="仿宋_GB2312" w:cs="仿宋_GB2312"/>
          <w:sz w:val="32"/>
          <w:szCs w:val="32"/>
          <w:lang w:eastAsia="zh-CN"/>
        </w:rPr>
        <w:t>（2）差异原因分析：总预算数小于总执行数的</w:t>
      </w:r>
      <w:r>
        <w:rPr>
          <w:rFonts w:hint="eastAsia" w:ascii="仿宋_GB2312" w:hAnsi="仿宋_GB2312" w:eastAsia="仿宋_GB2312" w:cs="仿宋_GB2312"/>
          <w:sz w:val="32"/>
          <w:szCs w:val="32"/>
          <w:highlight w:val="none"/>
          <w:lang w:val="en-US" w:eastAsia="zh-CN"/>
        </w:rPr>
        <w:t>主要原因为2024年下半年调入3人（其中：事业人员2人，公务员1人）工资福利费增长</w:t>
      </w:r>
      <w:r>
        <w:rPr>
          <w:rFonts w:hint="eastAsia" w:ascii="仿宋_GB2312" w:hAnsi="仿宋_GB2312" w:eastAsia="仿宋_GB2312" w:cs="仿宋_GB2312"/>
          <w:sz w:val="32"/>
          <w:szCs w:val="32"/>
          <w:lang w:eastAsia="zh-CN"/>
        </w:rPr>
        <w:t>。</w:t>
      </w:r>
    </w:p>
    <w:p w14:paraId="6108AD43">
      <w:pPr>
        <w:keepNext w:val="0"/>
        <w:keepLines w:val="0"/>
        <w:pageBreakBefore w:val="0"/>
        <w:numPr>
          <w:ilvl w:val="0"/>
          <w:numId w:val="0"/>
        </w:numPr>
        <w:kinsoku/>
        <w:wordWrap/>
        <w:overflowPunct/>
        <w:topLinePunct w:val="0"/>
        <w:autoSpaceDE/>
        <w:autoSpaceDN/>
        <w:bidi w:val="0"/>
        <w:adjustRightInd/>
        <w:spacing w:line="520" w:lineRule="exact"/>
        <w:ind w:firstLine="643"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2．收入支出结构分析。</w:t>
      </w:r>
    </w:p>
    <w:p w14:paraId="2BB0ECBB">
      <w:pPr>
        <w:keepNext w:val="0"/>
        <w:keepLines w:val="0"/>
        <w:pageBreakBefore w:val="0"/>
        <w:kinsoku/>
        <w:wordWrap/>
        <w:overflowPunct/>
        <w:topLinePunct w:val="0"/>
        <w:autoSpaceDE/>
        <w:autoSpaceDN/>
        <w:bidi w:val="0"/>
        <w:adjustRightInd/>
        <w:snapToGrid w:val="0"/>
        <w:spacing w:line="520" w:lineRule="exact"/>
        <w:ind w:firstLine="600" w:firstLineChars="200"/>
        <w:rPr>
          <w:rFonts w:hint="eastAsia" w:ascii="仿宋_GB2312" w:hAnsi="仿宋_GB2312" w:eastAsia="仿宋_GB2312" w:cs="仿宋_GB2312"/>
          <w:sz w:val="32"/>
          <w:szCs w:val="32"/>
          <w:lang w:val="en-US" w:eastAsia="zh-CN"/>
        </w:rPr>
      </w:pPr>
      <w:r>
        <w:rPr>
          <w:rFonts w:hint="eastAsia" w:ascii="宋体" w:hAnsi="宋体" w:eastAsia="方正仿宋_GBK" w:cs="方正仿宋_GBK"/>
          <w:sz w:val="30"/>
          <w:szCs w:val="30"/>
          <w:lang w:eastAsia="zh-CN"/>
        </w:rPr>
        <w:drawing>
          <wp:anchor distT="0" distB="0" distL="114300" distR="114300" simplePos="0" relativeHeight="251659264" behindDoc="0" locked="0" layoutInCell="1" allowOverlap="1">
            <wp:simplePos x="0" y="0"/>
            <wp:positionH relativeFrom="column">
              <wp:posOffset>-99695</wp:posOffset>
            </wp:positionH>
            <wp:positionV relativeFrom="paragraph">
              <wp:posOffset>1447800</wp:posOffset>
            </wp:positionV>
            <wp:extent cx="5256530" cy="2988310"/>
            <wp:effectExtent l="5080" t="4445" r="15240" b="1714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val="en-US" w:eastAsia="zh-CN"/>
        </w:rPr>
        <w:t>2025年总收入1239861.41元，其中：财政补助收入1239861.41元，占总收入的100%；其他收入0元，占总收入的0%。（如图所示）</w:t>
      </w:r>
    </w:p>
    <w:p w14:paraId="5DFBDC5B">
      <w:pPr>
        <w:pStyle w:val="9"/>
        <w:keepNext w:val="0"/>
        <w:keepLines w:val="0"/>
        <w:pageBreakBefore w:val="0"/>
        <w:kinsoku/>
        <w:wordWrap/>
        <w:overflowPunct/>
        <w:topLinePunct w:val="0"/>
        <w:autoSpaceDE/>
        <w:autoSpaceDN/>
        <w:bidi w:val="0"/>
        <w:adjustRightInd/>
        <w:spacing w:line="520" w:lineRule="exact"/>
        <w:ind w:left="0" w:leftChars="0" w:firstLine="0" w:firstLineChars="0"/>
        <w:rPr>
          <w:rFonts w:hint="eastAsia"/>
          <w:lang w:val="en-US" w:eastAsia="zh-CN"/>
        </w:rPr>
      </w:pPr>
    </w:p>
    <w:p w14:paraId="2898ADBF">
      <w:pPr>
        <w:keepNext w:val="0"/>
        <w:keepLines w:val="0"/>
        <w:pageBreakBefore w:val="0"/>
        <w:kinsoku/>
        <w:wordWrap/>
        <w:overflowPunct/>
        <w:topLinePunct w:val="0"/>
        <w:autoSpaceDE/>
        <w:autoSpaceDN/>
        <w:bidi w:val="0"/>
        <w:adjustRightInd/>
        <w:snapToGrid w:val="0"/>
        <w:spacing w:line="520" w:lineRule="exact"/>
        <w:ind w:firstLine="640" w:firstLineChars="200"/>
        <w:rPr>
          <w:rFonts w:hint="eastAsia" w:ascii="宋体" w:hAnsi="宋体" w:eastAsia="方正仿宋_GBK" w:cs="方正仿宋_GBK"/>
          <w:sz w:val="30"/>
          <w:szCs w:val="30"/>
          <w:lang w:eastAsia="zh-CN"/>
        </w:rPr>
      </w:pPr>
      <w:r>
        <w:rPr>
          <w:rFonts w:hint="eastAsia" w:ascii="仿宋_GB2312" w:hAnsi="仿宋_GB2312" w:eastAsia="仿宋_GB2312" w:cs="仿宋_GB2312"/>
          <w:sz w:val="32"/>
          <w:szCs w:val="32"/>
          <w:lang w:val="en-US" w:eastAsia="zh-CN"/>
        </w:rPr>
        <w:t>2025年度总支出1239861.41元，其中：基本支出1136763.41元，占总支出91.68%；项目支出103098.00元，占总支出的8.32%。（如图所示）</w:t>
      </w:r>
    </w:p>
    <w:p w14:paraId="0FAA740F">
      <w:pPr>
        <w:keepNext w:val="0"/>
        <w:keepLines w:val="0"/>
        <w:pageBreakBefore w:val="0"/>
        <w:kinsoku/>
        <w:wordWrap/>
        <w:overflowPunct/>
        <w:topLinePunct w:val="0"/>
        <w:autoSpaceDE/>
        <w:autoSpaceDN/>
        <w:bidi w:val="0"/>
        <w:adjustRightInd/>
        <w:snapToGrid w:val="0"/>
        <w:spacing w:line="520" w:lineRule="exact"/>
        <w:ind w:firstLine="300" w:firstLineChars="100"/>
        <w:rPr>
          <w:rFonts w:hint="eastAsia" w:ascii="仿宋_GB2312" w:hAnsi="仿宋_GB2312" w:eastAsia="仿宋_GB2312" w:cs="仿宋_GB2312"/>
          <w:sz w:val="32"/>
          <w:szCs w:val="32"/>
          <w:lang w:val="en-US" w:eastAsia="zh-CN"/>
        </w:rPr>
      </w:pPr>
      <w:r>
        <w:rPr>
          <w:rFonts w:hint="eastAsia" w:ascii="宋体" w:hAnsi="宋体" w:eastAsia="方正仿宋_GBK" w:cs="方正仿宋_GBK"/>
          <w:sz w:val="30"/>
          <w:szCs w:val="30"/>
          <w:lang w:eastAsia="zh-CN"/>
        </w:rPr>
        <w:drawing>
          <wp:anchor distT="0" distB="0" distL="114300" distR="114300" simplePos="0" relativeHeight="251660288" behindDoc="0" locked="0" layoutInCell="1" allowOverlap="1">
            <wp:simplePos x="0" y="0"/>
            <wp:positionH relativeFrom="column">
              <wp:posOffset>138430</wp:posOffset>
            </wp:positionH>
            <wp:positionV relativeFrom="paragraph">
              <wp:posOffset>128270</wp:posOffset>
            </wp:positionV>
            <wp:extent cx="5256530" cy="2988310"/>
            <wp:effectExtent l="5080" t="4445" r="15240" b="1714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2EEED6F8">
      <w:pPr>
        <w:keepNext w:val="0"/>
        <w:keepLines w:val="0"/>
        <w:pageBreakBefore w:val="0"/>
        <w:kinsoku/>
        <w:wordWrap/>
        <w:overflowPunct/>
        <w:topLinePunct w:val="0"/>
        <w:autoSpaceDE/>
        <w:autoSpaceDN/>
        <w:bidi w:val="0"/>
        <w:adjustRightInd/>
        <w:snapToGrid w:val="0"/>
        <w:spacing w:line="520" w:lineRule="exact"/>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收入支出与上年度对比情况及原因分析</w:t>
      </w:r>
    </w:p>
    <w:p w14:paraId="74787BAC">
      <w:pPr>
        <w:keepNext w:val="0"/>
        <w:keepLines w:val="0"/>
        <w:pageBreakBefore w:val="0"/>
        <w:kinsoku/>
        <w:wordWrap/>
        <w:overflowPunct/>
        <w:topLinePunct w:val="0"/>
        <w:autoSpaceDE/>
        <w:autoSpaceDN/>
        <w:bidi w:val="0"/>
        <w:adjustRightInd/>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2025年总收入1239861.41元，较上年887662.29元增加352199.12元，增长39.68%。其中：财政补助收入1239861.41元，较上年873547.29元增加366314.12元，增长41.93%；其他收入0元，较上年减少14115元，下降100%。</w:t>
      </w:r>
    </w:p>
    <w:p w14:paraId="23939024">
      <w:pPr>
        <w:keepNext w:val="0"/>
        <w:keepLines w:val="0"/>
        <w:pageBreakBefore w:val="0"/>
        <w:kinsoku/>
        <w:wordWrap/>
        <w:overflowPunct/>
        <w:topLinePunct w:val="0"/>
        <w:autoSpaceDE/>
        <w:autoSpaceDN/>
        <w:bidi w:val="0"/>
        <w:adjustRightInd/>
        <w:snapToGrid w:val="0"/>
        <w:spacing w:line="520" w:lineRule="exact"/>
        <w:ind w:firstLine="640" w:firstLineChars="200"/>
        <w:rPr>
          <w:rFonts w:hint="eastAsia"/>
          <w:lang w:eastAsia="zh-CN"/>
        </w:rPr>
      </w:pPr>
      <w:r>
        <w:rPr>
          <w:rFonts w:hint="eastAsia" w:ascii="仿宋_GB2312" w:hAnsi="仿宋_GB2312" w:eastAsia="仿宋_GB2312" w:cs="仿宋_GB2312"/>
          <w:sz w:val="32"/>
          <w:szCs w:val="32"/>
          <w:lang w:val="en-US" w:eastAsia="zh-CN"/>
        </w:rPr>
        <w:t>2025年度总支出1239861.41元，较上年887662.29元增加352199.12元，增长39.68%。其中：基本支出1054408.41元，较上年802292.92元增加252115.49元，增长率31.42%；项目支出103098.00元，较上年85369.37元增加17728.63元，增长20.77%。（如下图所示）</w:t>
      </w:r>
    </w:p>
    <w:p w14:paraId="5CDC5EE5">
      <w:pPr>
        <w:keepNext w:val="0"/>
        <w:keepLines w:val="0"/>
        <w:pageBreakBefore w:val="0"/>
        <w:numPr>
          <w:ilvl w:val="0"/>
          <w:numId w:val="0"/>
        </w:numPr>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b w:val="0"/>
          <w:bCs/>
          <w:sz w:val="32"/>
          <w:szCs w:val="32"/>
          <w:lang w:val="en-US" w:eastAsia="zh-CN"/>
        </w:rPr>
      </w:pPr>
    </w:p>
    <w:p w14:paraId="0C17A43E">
      <w:pPr>
        <w:keepNext w:val="0"/>
        <w:keepLines w:val="0"/>
        <w:pageBreakBefore w:val="0"/>
        <w:numPr>
          <w:ilvl w:val="0"/>
          <w:numId w:val="0"/>
        </w:numPr>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b w:val="0"/>
          <w:bCs/>
          <w:sz w:val="32"/>
          <w:szCs w:val="32"/>
          <w:lang w:val="en-US" w:eastAsia="zh-CN"/>
        </w:rPr>
      </w:pPr>
      <w:r>
        <w:rPr>
          <w:rFonts w:hint="eastAsia" w:ascii="宋体" w:hAnsi="宋体" w:eastAsia="方正仿宋_GBK" w:cs="方正仿宋_GBK"/>
          <w:sz w:val="30"/>
          <w:szCs w:val="30"/>
          <w:lang w:val="en-US" w:eastAsia="zh-CN"/>
        </w:rPr>
        <w:pict>
          <v:shape id="Object 14" o:spid="_x0000_s2054" o:spt="75" alt="" type="#_x0000_t75" style="position:absolute;left:0pt;margin-left:4.65pt;margin-top:6.1pt;height:237.95pt;width:419.15pt;mso-wrap-distance-bottom:0pt;mso-wrap-distance-top:0pt;z-index:251661312;mso-width-relative:page;mso-height-relative:page;" o:ole="t" filled="f" o:preferrelative="t" stroked="f" coordsize="21600,21600">
            <v:path/>
            <v:fill on="f" focussize="0,0"/>
            <v:stroke on="f"/>
            <v:imagedata r:id="rId7" o:title=""/>
            <o:lock v:ext="edit" aspectratio="t"/>
            <w10:wrap type="topAndBottom"/>
          </v:shape>
          <o:OLEObject Type="Embed" ProgID="Excel.Chart.8" ShapeID="Object 14" DrawAspect="Content" ObjectID="_1468075725" r:id="rId6">
            <o:LockedField>false</o:LockedField>
          </o:OLEObject>
        </w:pict>
      </w:r>
    </w:p>
    <w:p w14:paraId="0D379583">
      <w:pPr>
        <w:keepNext w:val="0"/>
        <w:keepLines w:val="0"/>
        <w:pageBreakBefore w:val="0"/>
        <w:numPr>
          <w:ilvl w:val="0"/>
          <w:numId w:val="0"/>
        </w:numPr>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2025年收入支出较上年增加的原因是2024年下半年</w:t>
      </w:r>
      <w:r>
        <w:rPr>
          <w:rFonts w:hint="eastAsia" w:ascii="仿宋_GB2312" w:hAnsi="仿宋_GB2312" w:eastAsia="仿宋_GB2312" w:cs="仿宋_GB2312"/>
          <w:sz w:val="32"/>
          <w:szCs w:val="32"/>
          <w:highlight w:val="none"/>
          <w:lang w:val="en-US" w:eastAsia="zh-CN"/>
        </w:rPr>
        <w:t>调入3人（其中：事业人员2人，公务员1人）工资福利费增长。</w:t>
      </w:r>
    </w:p>
    <w:p w14:paraId="1C9B4B70">
      <w:pPr>
        <w:keepNext w:val="0"/>
        <w:keepLines w:val="0"/>
        <w:pageBreakBefore w:val="0"/>
        <w:numPr>
          <w:ilvl w:val="0"/>
          <w:numId w:val="0"/>
        </w:numPr>
        <w:kinsoku/>
        <w:wordWrap/>
        <w:overflowPunct/>
        <w:topLinePunct w:val="0"/>
        <w:autoSpaceDE/>
        <w:autoSpaceDN/>
        <w:bidi w:val="0"/>
        <w:adjustRightInd/>
        <w:spacing w:line="520" w:lineRule="exact"/>
        <w:ind w:firstLine="643" w:firstLineChars="200"/>
        <w:jc w:val="both"/>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3．支出按经济分类科目分析。</w:t>
      </w:r>
    </w:p>
    <w:p w14:paraId="1322D5F8">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（1）“三公”经费支出情况：</w:t>
      </w:r>
      <w:r>
        <w:rPr>
          <w:rFonts w:hint="eastAsia" w:ascii="仿宋_GB2312" w:hAnsi="仿宋_GB2312" w:eastAsia="仿宋_GB2312" w:cs="仿宋_GB2312"/>
          <w:kern w:val="0"/>
          <w:sz w:val="32"/>
          <w:szCs w:val="32"/>
          <w:lang w:val="en-US" w:eastAsia="zh-CN"/>
        </w:rPr>
        <w:t>2025年“三公”支出总计7237.00元，全部为公务接待费，与上年对比减少9180.00元，下降55.92%。</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如下表所示</w:t>
      </w:r>
      <w:r>
        <w:rPr>
          <w:rFonts w:hint="eastAsia" w:ascii="仿宋_GB2312" w:hAnsi="仿宋_GB2312" w:eastAsia="仿宋_GB2312" w:cs="仿宋_GB2312"/>
          <w:kern w:val="0"/>
          <w:sz w:val="32"/>
          <w:szCs w:val="32"/>
        </w:rPr>
        <w:t>）</w:t>
      </w:r>
    </w:p>
    <w:tbl>
      <w:tblPr>
        <w:tblStyle w:val="13"/>
        <w:tblW w:w="8471"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1500"/>
        <w:gridCol w:w="1783"/>
        <w:gridCol w:w="1734"/>
        <w:gridCol w:w="1621"/>
      </w:tblGrid>
      <w:tr w14:paraId="6C6B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14:paraId="3FA2C248">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科 目</w:t>
            </w:r>
          </w:p>
        </w:tc>
        <w:tc>
          <w:tcPr>
            <w:tcW w:w="1500" w:type="dxa"/>
            <w:noWrap w:val="0"/>
            <w:vAlign w:val="top"/>
          </w:tcPr>
          <w:p w14:paraId="746F616D">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w:t>
            </w:r>
          </w:p>
        </w:tc>
        <w:tc>
          <w:tcPr>
            <w:tcW w:w="1783" w:type="dxa"/>
            <w:noWrap w:val="0"/>
            <w:vAlign w:val="top"/>
          </w:tcPr>
          <w:p w14:paraId="06F22C2E">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2024年</w:t>
            </w:r>
          </w:p>
        </w:tc>
        <w:tc>
          <w:tcPr>
            <w:tcW w:w="1734" w:type="dxa"/>
            <w:noWrap w:val="0"/>
            <w:vAlign w:val="top"/>
          </w:tcPr>
          <w:p w14:paraId="587E0562">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增减额</w:t>
            </w:r>
          </w:p>
        </w:tc>
        <w:tc>
          <w:tcPr>
            <w:tcW w:w="1621" w:type="dxa"/>
            <w:noWrap w:val="0"/>
            <w:vAlign w:val="top"/>
          </w:tcPr>
          <w:p w14:paraId="62391B86">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增减率</w:t>
            </w:r>
          </w:p>
        </w:tc>
      </w:tr>
      <w:tr w14:paraId="642C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14:paraId="61F95C9C">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公务接待</w:t>
            </w:r>
            <w:r>
              <w:rPr>
                <w:rFonts w:hint="eastAsia" w:ascii="仿宋_GB2312" w:hAnsi="仿宋_GB2312" w:eastAsia="仿宋_GB2312" w:cs="仿宋_GB2312"/>
                <w:kern w:val="0"/>
                <w:sz w:val="32"/>
                <w:szCs w:val="32"/>
                <w:lang w:eastAsia="zh-CN"/>
              </w:rPr>
              <w:t>费</w:t>
            </w:r>
          </w:p>
        </w:tc>
        <w:tc>
          <w:tcPr>
            <w:tcW w:w="1500" w:type="dxa"/>
            <w:noWrap w:val="0"/>
            <w:vAlign w:val="top"/>
          </w:tcPr>
          <w:p w14:paraId="34B9ED21">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8468.00</w:t>
            </w:r>
          </w:p>
        </w:tc>
        <w:tc>
          <w:tcPr>
            <w:tcW w:w="1783" w:type="dxa"/>
            <w:noWrap w:val="0"/>
            <w:vAlign w:val="top"/>
          </w:tcPr>
          <w:p w14:paraId="725CF5E0">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7237.00</w:t>
            </w:r>
          </w:p>
        </w:tc>
        <w:tc>
          <w:tcPr>
            <w:tcW w:w="1734" w:type="dxa"/>
            <w:noWrap w:val="0"/>
            <w:vAlign w:val="top"/>
          </w:tcPr>
          <w:p w14:paraId="72BE1BFD">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1231</w:t>
            </w:r>
          </w:p>
        </w:tc>
        <w:tc>
          <w:tcPr>
            <w:tcW w:w="1621" w:type="dxa"/>
            <w:noWrap w:val="0"/>
            <w:vAlign w:val="top"/>
          </w:tcPr>
          <w:p w14:paraId="02C226C4">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17.01%</w:t>
            </w:r>
          </w:p>
        </w:tc>
      </w:tr>
      <w:tr w14:paraId="7DEA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3" w:type="dxa"/>
            <w:noWrap w:val="0"/>
            <w:vAlign w:val="top"/>
          </w:tcPr>
          <w:p w14:paraId="42CFB8E0">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人均支出</w:t>
            </w:r>
          </w:p>
        </w:tc>
        <w:tc>
          <w:tcPr>
            <w:tcW w:w="1500" w:type="dxa"/>
            <w:noWrap w:val="0"/>
            <w:vAlign w:val="top"/>
          </w:tcPr>
          <w:p w14:paraId="041B2207">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1209.71</w:t>
            </w:r>
          </w:p>
        </w:tc>
        <w:tc>
          <w:tcPr>
            <w:tcW w:w="1783" w:type="dxa"/>
            <w:noWrap w:val="0"/>
            <w:vAlign w:val="top"/>
          </w:tcPr>
          <w:p w14:paraId="1D155196">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1033.86</w:t>
            </w:r>
          </w:p>
        </w:tc>
        <w:tc>
          <w:tcPr>
            <w:tcW w:w="1734" w:type="dxa"/>
            <w:noWrap w:val="0"/>
            <w:vAlign w:val="top"/>
          </w:tcPr>
          <w:p w14:paraId="6A42C960">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175.85</w:t>
            </w:r>
          </w:p>
        </w:tc>
        <w:tc>
          <w:tcPr>
            <w:tcW w:w="1621" w:type="dxa"/>
            <w:noWrap w:val="0"/>
            <w:vAlign w:val="top"/>
          </w:tcPr>
          <w:p w14:paraId="42971EB3">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17.01%</w:t>
            </w:r>
          </w:p>
        </w:tc>
      </w:tr>
    </w:tbl>
    <w:p w14:paraId="6F5662DE">
      <w:pPr>
        <w:keepNext w:val="0"/>
        <w:keepLines w:val="0"/>
        <w:pageBreakBefore w:val="0"/>
        <w:numPr>
          <w:ilvl w:val="0"/>
          <w:numId w:val="2"/>
        </w:numPr>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会议费支出情况：</w:t>
      </w:r>
      <w:r>
        <w:rPr>
          <w:rFonts w:hint="eastAsia" w:ascii="仿宋_GB2312" w:hAnsi="仿宋_GB2312" w:eastAsia="仿宋_GB2312" w:cs="仿宋_GB2312"/>
          <w:kern w:val="0"/>
          <w:sz w:val="32"/>
          <w:szCs w:val="32"/>
          <w:lang w:val="en-US" w:eastAsia="zh-CN"/>
        </w:rPr>
        <w:t>2025年会议费950.00元，与上年对比增加950元，增长率100%。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如下表所示</w:t>
      </w:r>
      <w:r>
        <w:rPr>
          <w:rFonts w:hint="eastAsia" w:ascii="仿宋_GB2312" w:hAnsi="仿宋_GB2312" w:eastAsia="仿宋_GB2312" w:cs="仿宋_GB2312"/>
          <w:kern w:val="0"/>
          <w:sz w:val="32"/>
          <w:szCs w:val="32"/>
        </w:rPr>
        <w:t>）</w:t>
      </w:r>
    </w:p>
    <w:tbl>
      <w:tblPr>
        <w:tblStyle w:val="13"/>
        <w:tblW w:w="8510"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1455"/>
        <w:gridCol w:w="1512"/>
        <w:gridCol w:w="1833"/>
        <w:gridCol w:w="1647"/>
      </w:tblGrid>
      <w:tr w14:paraId="4F63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63" w:type="dxa"/>
            <w:noWrap w:val="0"/>
            <w:vAlign w:val="center"/>
          </w:tcPr>
          <w:p w14:paraId="13774147">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科 目</w:t>
            </w:r>
          </w:p>
        </w:tc>
        <w:tc>
          <w:tcPr>
            <w:tcW w:w="1455" w:type="dxa"/>
            <w:noWrap w:val="0"/>
            <w:vAlign w:val="center"/>
          </w:tcPr>
          <w:p w14:paraId="6D6884FC">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w:t>
            </w:r>
          </w:p>
        </w:tc>
        <w:tc>
          <w:tcPr>
            <w:tcW w:w="1512" w:type="dxa"/>
            <w:noWrap w:val="0"/>
            <w:vAlign w:val="center"/>
          </w:tcPr>
          <w:p w14:paraId="4C0D37E2">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2024年</w:t>
            </w:r>
          </w:p>
        </w:tc>
        <w:tc>
          <w:tcPr>
            <w:tcW w:w="1833" w:type="dxa"/>
            <w:noWrap w:val="0"/>
            <w:vAlign w:val="center"/>
          </w:tcPr>
          <w:p w14:paraId="66984E91">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增减额</w:t>
            </w:r>
          </w:p>
        </w:tc>
        <w:tc>
          <w:tcPr>
            <w:tcW w:w="1647" w:type="dxa"/>
            <w:noWrap w:val="0"/>
            <w:vAlign w:val="center"/>
          </w:tcPr>
          <w:p w14:paraId="54B05464">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增减率</w:t>
            </w:r>
          </w:p>
        </w:tc>
      </w:tr>
      <w:tr w14:paraId="22E0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63" w:type="dxa"/>
            <w:noWrap w:val="0"/>
            <w:vAlign w:val="center"/>
          </w:tcPr>
          <w:p w14:paraId="5E9928B1">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会议费</w:t>
            </w:r>
          </w:p>
        </w:tc>
        <w:tc>
          <w:tcPr>
            <w:tcW w:w="1455" w:type="dxa"/>
            <w:noWrap w:val="0"/>
            <w:vAlign w:val="center"/>
          </w:tcPr>
          <w:p w14:paraId="4D82DFF5">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950</w:t>
            </w:r>
          </w:p>
        </w:tc>
        <w:tc>
          <w:tcPr>
            <w:tcW w:w="1512" w:type="dxa"/>
            <w:noWrap w:val="0"/>
            <w:vAlign w:val="center"/>
          </w:tcPr>
          <w:p w14:paraId="1F813E55">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0.00</w:t>
            </w:r>
          </w:p>
        </w:tc>
        <w:tc>
          <w:tcPr>
            <w:tcW w:w="1833" w:type="dxa"/>
            <w:noWrap w:val="0"/>
            <w:vAlign w:val="center"/>
          </w:tcPr>
          <w:p w14:paraId="18AFD978">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rPr>
              <w:t>950</w:t>
            </w:r>
          </w:p>
        </w:tc>
        <w:tc>
          <w:tcPr>
            <w:tcW w:w="1647" w:type="dxa"/>
            <w:noWrap w:val="0"/>
            <w:vAlign w:val="center"/>
          </w:tcPr>
          <w:p w14:paraId="24CE751D">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r w14:paraId="56F6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63" w:type="dxa"/>
            <w:noWrap w:val="0"/>
            <w:vAlign w:val="center"/>
          </w:tcPr>
          <w:p w14:paraId="2979F9F9">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人均支出</w:t>
            </w:r>
          </w:p>
        </w:tc>
        <w:tc>
          <w:tcPr>
            <w:tcW w:w="1455" w:type="dxa"/>
            <w:noWrap w:val="0"/>
            <w:vAlign w:val="center"/>
          </w:tcPr>
          <w:p w14:paraId="4B2D0216">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135.71</w:t>
            </w:r>
          </w:p>
        </w:tc>
        <w:tc>
          <w:tcPr>
            <w:tcW w:w="1512" w:type="dxa"/>
            <w:noWrap w:val="0"/>
            <w:vAlign w:val="center"/>
          </w:tcPr>
          <w:p w14:paraId="4060B3FD">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0.00</w:t>
            </w:r>
          </w:p>
        </w:tc>
        <w:tc>
          <w:tcPr>
            <w:tcW w:w="1833" w:type="dxa"/>
            <w:noWrap w:val="0"/>
            <w:vAlign w:val="center"/>
          </w:tcPr>
          <w:p w14:paraId="63D291CA">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135.71</w:t>
            </w:r>
          </w:p>
        </w:tc>
        <w:tc>
          <w:tcPr>
            <w:tcW w:w="1647" w:type="dxa"/>
            <w:noWrap w:val="0"/>
            <w:vAlign w:val="center"/>
          </w:tcPr>
          <w:p w14:paraId="584433EB">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bl>
    <w:p w14:paraId="2E209B1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培训费支出情况：</w:t>
      </w:r>
      <w:r>
        <w:rPr>
          <w:rFonts w:hint="eastAsia" w:ascii="仿宋_GB2312" w:hAnsi="仿宋_GB2312" w:eastAsia="仿宋_GB2312" w:cs="仿宋_GB2312"/>
          <w:kern w:val="0"/>
          <w:sz w:val="32"/>
          <w:szCs w:val="32"/>
          <w:lang w:val="en-US" w:eastAsia="zh-CN"/>
        </w:rPr>
        <w:t>2025年培训费0.00元，与上年对比减少了10804.00元，下降率100%</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如下表所示</w:t>
      </w:r>
      <w:r>
        <w:rPr>
          <w:rFonts w:hint="eastAsia" w:ascii="仿宋_GB2312" w:hAnsi="仿宋_GB2312" w:eastAsia="仿宋_GB2312" w:cs="仿宋_GB2312"/>
          <w:kern w:val="0"/>
          <w:sz w:val="32"/>
          <w:szCs w:val="32"/>
        </w:rPr>
        <w:t>）</w:t>
      </w:r>
    </w:p>
    <w:tbl>
      <w:tblPr>
        <w:tblStyle w:val="13"/>
        <w:tblpPr w:leftFromText="180" w:rightFromText="180" w:vertAnchor="text" w:horzAnchor="page" w:tblpX="1904" w:tblpY="379"/>
        <w:tblOverlap w:val="never"/>
        <w:tblW w:w="82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1700"/>
        <w:gridCol w:w="1542"/>
        <w:gridCol w:w="1683"/>
        <w:gridCol w:w="1551"/>
      </w:tblGrid>
      <w:tr w14:paraId="0F11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1" w:type="dxa"/>
            <w:noWrap w:val="0"/>
            <w:vAlign w:val="center"/>
          </w:tcPr>
          <w:p w14:paraId="40D8EDE2">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科 目</w:t>
            </w:r>
          </w:p>
        </w:tc>
        <w:tc>
          <w:tcPr>
            <w:tcW w:w="1700" w:type="dxa"/>
            <w:noWrap w:val="0"/>
            <w:vAlign w:val="center"/>
          </w:tcPr>
          <w:p w14:paraId="728976C1">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w:t>
            </w:r>
          </w:p>
        </w:tc>
        <w:tc>
          <w:tcPr>
            <w:tcW w:w="1542" w:type="dxa"/>
            <w:noWrap w:val="0"/>
            <w:vAlign w:val="center"/>
          </w:tcPr>
          <w:p w14:paraId="70C0EC0E">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2024年</w:t>
            </w:r>
          </w:p>
        </w:tc>
        <w:tc>
          <w:tcPr>
            <w:tcW w:w="1683" w:type="dxa"/>
            <w:noWrap w:val="0"/>
            <w:vAlign w:val="center"/>
          </w:tcPr>
          <w:p w14:paraId="52BBD24C">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增减额</w:t>
            </w:r>
          </w:p>
        </w:tc>
        <w:tc>
          <w:tcPr>
            <w:tcW w:w="1551" w:type="dxa"/>
            <w:noWrap w:val="0"/>
            <w:vAlign w:val="center"/>
          </w:tcPr>
          <w:p w14:paraId="7E823307">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增减率</w:t>
            </w:r>
          </w:p>
        </w:tc>
      </w:tr>
      <w:tr w14:paraId="429D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791" w:type="dxa"/>
            <w:noWrap w:val="0"/>
            <w:vAlign w:val="center"/>
          </w:tcPr>
          <w:p w14:paraId="7A8A8A50">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培训费</w:t>
            </w:r>
          </w:p>
        </w:tc>
        <w:tc>
          <w:tcPr>
            <w:tcW w:w="1700" w:type="dxa"/>
            <w:noWrap w:val="0"/>
            <w:vAlign w:val="center"/>
          </w:tcPr>
          <w:p w14:paraId="34A403F0">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0.00</w:t>
            </w:r>
          </w:p>
        </w:tc>
        <w:tc>
          <w:tcPr>
            <w:tcW w:w="1542" w:type="dxa"/>
            <w:noWrap w:val="0"/>
            <w:vAlign w:val="center"/>
          </w:tcPr>
          <w:p w14:paraId="7552B716">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10804.00</w:t>
            </w:r>
          </w:p>
        </w:tc>
        <w:tc>
          <w:tcPr>
            <w:tcW w:w="1683" w:type="dxa"/>
            <w:noWrap w:val="0"/>
            <w:vAlign w:val="center"/>
          </w:tcPr>
          <w:p w14:paraId="617C2BF0">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-8678.00</w:t>
            </w:r>
          </w:p>
        </w:tc>
        <w:tc>
          <w:tcPr>
            <w:tcW w:w="1551" w:type="dxa"/>
            <w:noWrap w:val="0"/>
            <w:vAlign w:val="center"/>
          </w:tcPr>
          <w:p w14:paraId="00D0D03E">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r w14:paraId="7CAE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791" w:type="dxa"/>
            <w:noWrap w:val="0"/>
            <w:vAlign w:val="center"/>
          </w:tcPr>
          <w:p w14:paraId="67604BBC">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人均支出</w:t>
            </w:r>
          </w:p>
        </w:tc>
        <w:tc>
          <w:tcPr>
            <w:tcW w:w="1700" w:type="dxa"/>
            <w:noWrap w:val="0"/>
            <w:vAlign w:val="center"/>
          </w:tcPr>
          <w:p w14:paraId="544EB3A0">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0.00</w:t>
            </w:r>
          </w:p>
        </w:tc>
        <w:tc>
          <w:tcPr>
            <w:tcW w:w="1542" w:type="dxa"/>
            <w:noWrap w:val="0"/>
            <w:vAlign w:val="center"/>
          </w:tcPr>
          <w:p w14:paraId="01FC3D97">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1543.43</w:t>
            </w:r>
          </w:p>
        </w:tc>
        <w:tc>
          <w:tcPr>
            <w:tcW w:w="1683" w:type="dxa"/>
            <w:noWrap w:val="0"/>
            <w:vAlign w:val="center"/>
          </w:tcPr>
          <w:p w14:paraId="0BF40CDD">
            <w:pPr>
              <w:keepNext w:val="0"/>
              <w:keepLines w:val="0"/>
              <w:pageBreakBefore w:val="0"/>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-1011.93</w:t>
            </w:r>
          </w:p>
        </w:tc>
        <w:tc>
          <w:tcPr>
            <w:tcW w:w="1551" w:type="dxa"/>
            <w:noWrap w:val="0"/>
            <w:vAlign w:val="center"/>
          </w:tcPr>
          <w:p w14:paraId="0BC4A574">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bl>
    <w:p w14:paraId="6F9BF48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其他对部门影响较大的支出情况。</w:t>
      </w:r>
    </w:p>
    <w:p w14:paraId="6A725A9F">
      <w:pPr>
        <w:keepNext w:val="0"/>
        <w:keepLines w:val="0"/>
        <w:pageBreakBefore w:val="0"/>
        <w:widowControl w:val="0"/>
        <w:kinsoku/>
        <w:wordWrap/>
        <w:overflowPunct/>
        <w:topLinePunct w:val="0"/>
        <w:autoSpaceDE/>
        <w:autoSpaceDN/>
        <w:bidi w:val="0"/>
        <w:adjustRightInd/>
        <w:snapToGrid/>
        <w:spacing w:line="520" w:lineRule="exact"/>
        <w:ind w:firstLine="960" w:firstLineChars="3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无。</w:t>
      </w:r>
    </w:p>
    <w:p w14:paraId="3E1ACD7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重点经济分类支出中存在的问题及改进措施。</w:t>
      </w:r>
    </w:p>
    <w:p w14:paraId="7B1C3E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宋体" w:hAnsi="宋体" w:eastAsia="方正仿宋_GBK" w:cs="方正仿宋_GBK"/>
          <w:kern w:val="0"/>
          <w:sz w:val="32"/>
          <w:szCs w:val="32"/>
          <w:lang w:val="en-US" w:eastAsia="zh-CN"/>
        </w:rPr>
      </w:pPr>
      <w:r>
        <w:rPr>
          <w:rFonts w:hint="eastAsia" w:ascii="仿宋_GB2312" w:hAnsi="仿宋_GB2312" w:eastAsia="仿宋_GB2312" w:cs="仿宋_GB2312"/>
          <w:kern w:val="0"/>
          <w:sz w:val="32"/>
          <w:szCs w:val="32"/>
          <w:lang w:val="en-US" w:eastAsia="zh-CN"/>
        </w:rPr>
        <w:t xml:space="preserve">  无。</w:t>
      </w:r>
    </w:p>
    <w:p w14:paraId="5A128E32">
      <w:pPr>
        <w:keepNext w:val="0"/>
        <w:keepLines w:val="0"/>
        <w:pageBreakBefore w:val="0"/>
        <w:numPr>
          <w:ilvl w:val="0"/>
          <w:numId w:val="0"/>
        </w:numPr>
        <w:kinsoku/>
        <w:wordWrap/>
        <w:overflowPunct/>
        <w:topLinePunct w:val="0"/>
        <w:autoSpaceDE/>
        <w:autoSpaceDN/>
        <w:bidi w:val="0"/>
        <w:adjustRightInd/>
        <w:spacing w:line="520" w:lineRule="exact"/>
        <w:ind w:firstLine="643" w:firstLineChars="200"/>
        <w:jc w:val="both"/>
        <w:textAlignment w:val="auto"/>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4.财政拨款收入、支出分析。</w:t>
      </w:r>
    </w:p>
    <w:p w14:paraId="389F7F7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rPr>
        <w:t>20</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财政拨款收入</w:t>
      </w:r>
      <w:r>
        <w:rPr>
          <w:rFonts w:hint="eastAsia" w:ascii="仿宋_GB2312" w:hAnsi="仿宋_GB2312" w:eastAsia="仿宋_GB2312" w:cs="仿宋_GB2312"/>
          <w:sz w:val="32"/>
          <w:szCs w:val="32"/>
          <w:lang w:val="en-US" w:eastAsia="zh-CN"/>
        </w:rPr>
        <w:t>1239861.41</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lang w:val="en-US" w:eastAsia="zh-CN"/>
        </w:rPr>
        <w:t>较上年887662.29元增加352199.12元，增长39.68%</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其中</w:t>
      </w:r>
      <w:r>
        <w:rPr>
          <w:rFonts w:hint="eastAsia" w:ascii="仿宋_GB2312" w:hAnsi="仿宋_GB2312" w:eastAsia="仿宋_GB2312" w:cs="仿宋_GB2312"/>
          <w:kern w:val="0"/>
          <w:sz w:val="32"/>
          <w:szCs w:val="32"/>
          <w:lang w:eastAsia="zh-CN"/>
        </w:rPr>
        <w:t>：人员经费</w:t>
      </w:r>
      <w:r>
        <w:rPr>
          <w:rFonts w:hint="eastAsia" w:ascii="仿宋_GB2312" w:hAnsi="仿宋_GB2312" w:eastAsia="仿宋_GB2312" w:cs="仿宋_GB2312"/>
          <w:sz w:val="32"/>
          <w:szCs w:val="32"/>
          <w:lang w:val="en-US" w:eastAsia="zh-CN"/>
        </w:rPr>
        <w:t>1054408.41</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，较上年</w:t>
      </w:r>
      <w:r>
        <w:rPr>
          <w:rFonts w:hint="eastAsia" w:ascii="仿宋_GB2312" w:hAnsi="仿宋_GB2312" w:eastAsia="仿宋_GB2312" w:cs="仿宋_GB2312"/>
          <w:kern w:val="0"/>
          <w:sz w:val="32"/>
          <w:szCs w:val="32"/>
          <w:lang w:val="en-US" w:eastAsia="zh-CN"/>
        </w:rPr>
        <w:t>746256.31元</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308152.10元，增长41.29%；</w:t>
      </w:r>
      <w:r>
        <w:rPr>
          <w:rFonts w:hint="eastAsia" w:ascii="仿宋_GB2312" w:hAnsi="仿宋_GB2312" w:eastAsia="仿宋_GB2312" w:cs="仿宋_GB2312"/>
          <w:kern w:val="0"/>
          <w:sz w:val="32"/>
          <w:szCs w:val="32"/>
          <w:lang w:eastAsia="zh-CN"/>
        </w:rPr>
        <w:t>公用经费</w:t>
      </w:r>
      <w:r>
        <w:rPr>
          <w:rFonts w:hint="eastAsia" w:ascii="仿宋_GB2312" w:hAnsi="仿宋_GB2312" w:eastAsia="仿宋_GB2312" w:cs="仿宋_GB2312"/>
          <w:color w:val="auto"/>
          <w:kern w:val="0"/>
          <w:sz w:val="32"/>
          <w:szCs w:val="32"/>
          <w:highlight w:val="none"/>
          <w:lang w:val="en-US" w:eastAsia="zh-CN"/>
        </w:rPr>
        <w:t>82355.00</w:t>
      </w:r>
      <w:r>
        <w:rPr>
          <w:rFonts w:hint="eastAsia" w:ascii="仿宋_GB2312" w:hAnsi="仿宋_GB2312" w:eastAsia="仿宋_GB2312" w:cs="仿宋_GB2312"/>
          <w:kern w:val="0"/>
          <w:sz w:val="32"/>
          <w:szCs w:val="32"/>
          <w:lang w:val="en-US" w:eastAsia="zh-CN"/>
        </w:rPr>
        <w:t>元，较上年56036.61元增加11301.00元，下降20.17%；项目经费103098.00元，较上年85369.37元增加17728.63元，增长20.77%。2025年财政拨款收入增加</w:t>
      </w:r>
      <w:r>
        <w:rPr>
          <w:rFonts w:hint="eastAsia" w:ascii="仿宋_GB2312" w:hAnsi="仿宋_GB2312" w:eastAsia="仿宋_GB2312" w:cs="仿宋_GB2312"/>
          <w:sz w:val="32"/>
          <w:szCs w:val="32"/>
          <w:highlight w:val="none"/>
          <w:lang w:val="en-US" w:eastAsia="zh-CN"/>
        </w:rPr>
        <w:t>的主要原因为2024年下半年调入3人（其中：事业人员2人，公务员1人）工资福利费增长。</w:t>
      </w:r>
    </w:p>
    <w:p w14:paraId="1FA74256">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2025年财政拨款支出</w:t>
      </w:r>
      <w:r>
        <w:rPr>
          <w:rFonts w:hint="eastAsia" w:ascii="仿宋_GB2312" w:hAnsi="仿宋_GB2312" w:eastAsia="仿宋_GB2312" w:cs="仿宋_GB2312"/>
          <w:sz w:val="32"/>
          <w:szCs w:val="32"/>
          <w:lang w:val="en-US" w:eastAsia="zh-CN"/>
        </w:rPr>
        <w:t>1239861.41</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lang w:val="en-US" w:eastAsia="zh-CN"/>
        </w:rPr>
        <w:t>较上年887662.29元增加352199.12元，增长39.68%</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highlight w:val="none"/>
        </w:rPr>
        <w:t>其中</w:t>
      </w:r>
      <w:r>
        <w:rPr>
          <w:rFonts w:hint="eastAsia" w:ascii="仿宋_GB2312" w:hAnsi="仿宋_GB2312" w:eastAsia="仿宋_GB2312" w:cs="仿宋_GB2312"/>
          <w:kern w:val="0"/>
          <w:sz w:val="32"/>
          <w:szCs w:val="32"/>
          <w:highlight w:val="none"/>
          <w:lang w:eastAsia="zh-CN"/>
        </w:rPr>
        <w:t>：基本支出</w:t>
      </w:r>
      <w:r>
        <w:rPr>
          <w:rFonts w:hint="eastAsia" w:ascii="仿宋_GB2312" w:hAnsi="仿宋_GB2312" w:eastAsia="仿宋_GB2312" w:cs="仿宋_GB2312"/>
          <w:kern w:val="0"/>
          <w:sz w:val="32"/>
          <w:szCs w:val="32"/>
          <w:highlight w:val="none"/>
          <w:lang w:val="en-US" w:eastAsia="zh-CN"/>
        </w:rPr>
        <w:t>11136763.41元（含工资福利支出995814.58元：基本工资363329.00元，津贴补贴301434.00元，奖金100618.00元，绩效工资95928.00元，机关事业单位基本养老保险缴费125928.28元，职工基本医疗保险缴费36944.41元，公务员医疗补助缴费19090.04元，其他社会保障缴费3649.68元，体检费7490元；商品和服务支出82335.00元：办公费5250.00元，水费1000.00元，邮电费3750.00元，培训费0元，差旅费0元，公务接待费8468.00元，劳务费0元，工会经费10056.00元，其他交通费用46800.00元，残保金7031元），占总财政拨款支出的91.68%；项目支出103098.00元其中：商品和服务支出55090.00元（办公费15000.00元，电费0元，劳务费1800.00元，差旅费15418.00元，会议费950.00元，其他交通费用21922.00元）；对家庭和个人补助（公益性岗位工资8450.00元）；资本性支出（办公设备购置39558元），占总财政拨款支出的8.32%。</w:t>
      </w:r>
      <w:r>
        <w:rPr>
          <w:rFonts w:hint="eastAsia" w:ascii="仿宋_GB2312" w:hAnsi="仿宋_GB2312" w:eastAsia="仿宋_GB2312" w:cs="仿宋_GB2312"/>
          <w:kern w:val="0"/>
          <w:sz w:val="32"/>
          <w:szCs w:val="32"/>
          <w:lang w:val="en-US" w:eastAsia="zh-CN"/>
        </w:rPr>
        <w:t>2025年财政拨款支出增加</w:t>
      </w:r>
      <w:r>
        <w:rPr>
          <w:rFonts w:hint="eastAsia" w:ascii="仿宋_GB2312" w:hAnsi="仿宋_GB2312" w:eastAsia="仿宋_GB2312" w:cs="仿宋_GB2312"/>
          <w:sz w:val="32"/>
          <w:szCs w:val="32"/>
          <w:highlight w:val="none"/>
          <w:lang w:val="en-US" w:eastAsia="zh-CN"/>
        </w:rPr>
        <w:t>的主要原因为2024年下半年调入3人（其中：事业人员2人，公务员1人）人员经费支出增长。</w:t>
      </w:r>
    </w:p>
    <w:p w14:paraId="21813D8D">
      <w:pPr>
        <w:keepNext w:val="0"/>
        <w:keepLines w:val="0"/>
        <w:pageBreakBefore w:val="0"/>
        <w:numPr>
          <w:ilvl w:val="0"/>
          <w:numId w:val="0"/>
        </w:numPr>
        <w:kinsoku/>
        <w:wordWrap/>
        <w:overflowPunct/>
        <w:topLinePunct w:val="0"/>
        <w:autoSpaceDE/>
        <w:autoSpaceDN/>
        <w:bidi w:val="0"/>
        <w:adjustRightInd/>
        <w:snapToGrid w:val="0"/>
        <w:spacing w:line="520" w:lineRule="exact"/>
        <w:ind w:firstLine="643" w:firstLineChars="200"/>
        <w:rPr>
          <w:rFonts w:hint="eastAsia" w:ascii="仿宋_GB2312" w:hAnsi="仿宋" w:eastAsia="仿宋_GB2312"/>
          <w:b w:val="0"/>
          <w:bCs/>
          <w:sz w:val="32"/>
          <w:szCs w:val="32"/>
        </w:rPr>
      </w:pPr>
      <w:r>
        <w:rPr>
          <w:rFonts w:hint="eastAsia" w:ascii="仿宋_GB2312" w:hAnsi="仿宋" w:eastAsia="仿宋_GB2312"/>
          <w:b/>
          <w:sz w:val="32"/>
          <w:szCs w:val="32"/>
          <w:highlight w:val="none"/>
          <w:lang w:val="en-US" w:eastAsia="zh-CN"/>
        </w:rPr>
        <w:t>5</w:t>
      </w:r>
      <w:r>
        <w:rPr>
          <w:rFonts w:hint="eastAsia" w:ascii="仿宋_GB2312" w:hAnsi="仿宋" w:eastAsia="仿宋_GB2312"/>
          <w:b/>
          <w:sz w:val="32"/>
          <w:szCs w:val="32"/>
          <w:highlight w:val="none"/>
        </w:rPr>
        <w:t>.非财政拨款收入、支出分析</w:t>
      </w:r>
      <w:r>
        <w:rPr>
          <w:rFonts w:hint="eastAsia" w:ascii="仿宋_GB2312" w:hAnsi="仿宋" w:eastAsia="仿宋_GB2312"/>
          <w:b/>
          <w:bCs w:val="0"/>
          <w:sz w:val="32"/>
          <w:szCs w:val="32"/>
        </w:rPr>
        <w:t>。</w:t>
      </w:r>
    </w:p>
    <w:p w14:paraId="65C375F7">
      <w:pPr>
        <w:pStyle w:val="8"/>
        <w:keepNext w:val="0"/>
        <w:keepLines w:val="0"/>
        <w:pageBreakBefore w:val="0"/>
        <w:numPr>
          <w:ilvl w:val="0"/>
          <w:numId w:val="0"/>
        </w:numPr>
        <w:kinsoku/>
        <w:wordWrap/>
        <w:overflowPunct/>
        <w:topLinePunct w:val="0"/>
        <w:autoSpaceDE/>
        <w:autoSpaceDN/>
        <w:bidi w:val="0"/>
        <w:adjustRightInd/>
        <w:spacing w:before="0" w:beforeLines="0" w:line="520" w:lineRule="exact"/>
        <w:ind w:firstLine="600"/>
        <w:rPr>
          <w:rFonts w:hint="eastAsia" w:ascii="宋体" w:hAnsi="宋体" w:eastAsia="方正仿宋_GBK" w:cs="方正仿宋_GBK"/>
          <w:kern w:val="0"/>
          <w:sz w:val="30"/>
          <w:szCs w:val="30"/>
          <w:lang w:val="en-US" w:eastAsia="zh-CN"/>
        </w:rPr>
      </w:pPr>
      <w:r>
        <w:rPr>
          <w:rFonts w:hint="eastAsia" w:ascii="仿宋_GB2312" w:hAnsi="仿宋_GB2312" w:eastAsia="仿宋_GB2312" w:cs="仿宋_GB2312"/>
          <w:kern w:val="0"/>
          <w:sz w:val="32"/>
          <w:szCs w:val="32"/>
          <w:lang w:val="en-US" w:eastAsia="zh-CN" w:bidi="ar-SA"/>
        </w:rPr>
        <w:t>202</w:t>
      </w:r>
      <w:r>
        <w:rPr>
          <w:rFonts w:hint="eastAsia"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年非财政拨款收入</w:t>
      </w:r>
      <w:r>
        <w:rPr>
          <w:rFonts w:hint="eastAsia" w:hAnsi="仿宋_GB2312" w:cs="仿宋_GB2312"/>
          <w:kern w:val="0"/>
          <w:sz w:val="32"/>
          <w:szCs w:val="32"/>
          <w:lang w:val="en-US" w:eastAsia="zh-CN" w:bidi="ar-SA"/>
        </w:rPr>
        <w:t>0</w:t>
      </w:r>
      <w:r>
        <w:rPr>
          <w:rFonts w:hint="eastAsia" w:ascii="仿宋_GB2312" w:hAnsi="仿宋_GB2312" w:eastAsia="仿宋_GB2312" w:cs="仿宋_GB2312"/>
          <w:kern w:val="0"/>
          <w:sz w:val="32"/>
          <w:szCs w:val="32"/>
          <w:lang w:val="en-US" w:eastAsia="zh-CN" w:bidi="ar-SA"/>
        </w:rPr>
        <w:t>元</w:t>
      </w:r>
      <w:r>
        <w:rPr>
          <w:rFonts w:hint="eastAsia" w:hAnsi="仿宋_GB2312" w:cs="仿宋_GB2312"/>
          <w:kern w:val="0"/>
          <w:sz w:val="32"/>
          <w:szCs w:val="32"/>
          <w:lang w:val="en-US" w:eastAsia="zh-CN" w:bidi="ar-SA"/>
        </w:rPr>
        <w:t>。</w:t>
      </w:r>
    </w:p>
    <w:p w14:paraId="07285D87">
      <w:pPr>
        <w:keepNext w:val="0"/>
        <w:keepLines w:val="0"/>
        <w:pageBreakBefore w:val="0"/>
        <w:numPr>
          <w:ilvl w:val="0"/>
          <w:numId w:val="3"/>
        </w:numPr>
        <w:kinsoku/>
        <w:wordWrap/>
        <w:overflowPunct/>
        <w:topLinePunct w:val="0"/>
        <w:autoSpaceDE/>
        <w:autoSpaceDN/>
        <w:bidi w:val="0"/>
        <w:adjustRightInd/>
        <w:spacing w:line="520" w:lineRule="exact"/>
        <w:ind w:firstLine="321" w:firstLineChars="100"/>
        <w:jc w:val="both"/>
        <w:textAlignment w:val="auto"/>
        <w:rPr>
          <w:rFonts w:hint="eastAsia" w:ascii="楷体_GB2312" w:hAnsi="仿宋" w:eastAsia="楷体_GB2312" w:cs="Times New Roman"/>
          <w:b/>
          <w:sz w:val="32"/>
          <w:szCs w:val="32"/>
          <w:lang w:eastAsia="zh-CN"/>
        </w:rPr>
      </w:pPr>
      <w:r>
        <w:rPr>
          <w:rFonts w:hint="eastAsia" w:ascii="楷体_GB2312" w:hAnsi="仿宋" w:eastAsia="楷体_GB2312" w:cs="Times New Roman"/>
          <w:b/>
          <w:sz w:val="32"/>
          <w:szCs w:val="32"/>
          <w:lang w:eastAsia="zh-CN"/>
        </w:rPr>
        <w:t>年末结转和结余情况。</w:t>
      </w:r>
    </w:p>
    <w:p w14:paraId="2C858E6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1.财政拨款结转和结余</w:t>
      </w:r>
    </w:p>
    <w:p w14:paraId="39B81AA2">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（1）2025年末无财政拨款结转和结余。</w:t>
      </w:r>
    </w:p>
    <w:p w14:paraId="689F84B2">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（2）消化结转和结余的对策。</w:t>
      </w:r>
    </w:p>
    <w:p w14:paraId="5B08CD98">
      <w:pPr>
        <w:keepNext w:val="0"/>
        <w:keepLines w:val="0"/>
        <w:pageBreakBefore w:val="0"/>
        <w:kinsoku/>
        <w:wordWrap/>
        <w:overflowPunct/>
        <w:topLinePunct w:val="0"/>
        <w:autoSpaceDE/>
        <w:autoSpaceDN/>
        <w:bidi w:val="0"/>
        <w:adjustRightInd/>
        <w:spacing w:line="520" w:lineRule="exact"/>
        <w:ind w:firstLine="960" w:firstLineChars="3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无。</w:t>
      </w:r>
    </w:p>
    <w:p w14:paraId="6744A17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2.非财政拨款结转和结余</w:t>
      </w:r>
    </w:p>
    <w:p w14:paraId="1E67775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default"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lang w:val="en-US" w:eastAsia="zh-CN" w:bidi="ar-SA"/>
        </w:rPr>
        <w:t>2025年末无非财政拨款结转和结余。</w:t>
      </w:r>
    </w:p>
    <w:p w14:paraId="3639A2D8">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（2）消化非财政拨款结转和结余的对策，加强与财政拨款统筹使用，合理安排支出提出处置意见。</w:t>
      </w:r>
    </w:p>
    <w:p w14:paraId="0EFC349C">
      <w:pPr>
        <w:keepNext w:val="0"/>
        <w:keepLines w:val="0"/>
        <w:pageBreakBefore w:val="0"/>
        <w:numPr>
          <w:ilvl w:val="0"/>
          <w:numId w:val="0"/>
        </w:numPr>
        <w:kinsoku/>
        <w:wordWrap/>
        <w:overflowPunct/>
        <w:topLinePunct w:val="0"/>
        <w:autoSpaceDE/>
        <w:autoSpaceDN/>
        <w:bidi w:val="0"/>
        <w:adjustRightInd/>
        <w:spacing w:line="520" w:lineRule="exact"/>
        <w:ind w:firstLine="321" w:firstLineChars="100"/>
        <w:jc w:val="both"/>
        <w:textAlignment w:val="auto"/>
        <w:rPr>
          <w:rFonts w:hint="eastAsia" w:ascii="楷体_GB2312" w:hAnsi="仿宋" w:eastAsia="楷体_GB2312" w:cs="Times New Roman"/>
          <w:b/>
          <w:sz w:val="32"/>
          <w:szCs w:val="32"/>
          <w:lang w:eastAsia="zh-CN"/>
        </w:rPr>
      </w:pPr>
      <w:r>
        <w:rPr>
          <w:rFonts w:hint="eastAsia" w:ascii="楷体_GB2312" w:hAnsi="仿宋" w:eastAsia="楷体_GB2312" w:cs="Times New Roman"/>
          <w:b/>
          <w:sz w:val="32"/>
          <w:szCs w:val="32"/>
          <w:lang w:eastAsia="zh-CN"/>
        </w:rPr>
        <w:t>（四）与预算支出相关的其他指标分析</w:t>
      </w:r>
    </w:p>
    <w:p w14:paraId="24A03D2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kern w:val="0"/>
          <w:sz w:val="32"/>
          <w:szCs w:val="32"/>
        </w:rPr>
        <w:t>本年度资产总计</w:t>
      </w:r>
      <w:r>
        <w:rPr>
          <w:rFonts w:hint="eastAsia" w:ascii="仿宋_GB2312" w:hAnsi="仿宋_GB2312" w:eastAsia="仿宋_GB2312" w:cs="仿宋_GB2312"/>
          <w:kern w:val="0"/>
          <w:sz w:val="32"/>
          <w:szCs w:val="32"/>
          <w:lang w:val="en-US" w:eastAsia="zh-CN"/>
        </w:rPr>
        <w:t>49895.46</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较</w:t>
      </w:r>
      <w:r>
        <w:rPr>
          <w:rFonts w:hint="eastAsia" w:ascii="仿宋_GB2312" w:hAnsi="仿宋_GB2312" w:eastAsia="仿宋_GB2312" w:cs="仿宋_GB2312"/>
          <w:kern w:val="0"/>
          <w:sz w:val="32"/>
          <w:szCs w:val="32"/>
        </w:rPr>
        <w:t>上年</w:t>
      </w:r>
      <w:r>
        <w:rPr>
          <w:rFonts w:hint="eastAsia" w:ascii="仿宋_GB2312" w:hAnsi="仿宋_GB2312" w:eastAsia="仿宋_GB2312" w:cs="仿宋_GB2312"/>
          <w:kern w:val="0"/>
          <w:sz w:val="32"/>
          <w:szCs w:val="32"/>
          <w:lang w:val="en-US" w:eastAsia="zh-CN"/>
        </w:rPr>
        <w:t>35955.50</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lang w:val="en-US" w:eastAsia="zh-CN"/>
        </w:rPr>
        <w:t>13939.96</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lang w:eastAsia="zh-CN"/>
        </w:rPr>
        <w:t>，增长</w:t>
      </w:r>
      <w:r>
        <w:rPr>
          <w:rFonts w:hint="eastAsia" w:ascii="仿宋_GB2312" w:hAnsi="仿宋_GB2312" w:eastAsia="仿宋_GB2312" w:cs="仿宋_GB2312"/>
          <w:kern w:val="0"/>
          <w:sz w:val="32"/>
          <w:szCs w:val="32"/>
          <w:lang w:val="en-US" w:eastAsia="zh-CN"/>
        </w:rPr>
        <w:t>38.77</w:t>
      </w:r>
      <w:r>
        <w:rPr>
          <w:rFonts w:hint="eastAsia" w:ascii="仿宋_GB2312" w:hAnsi="仿宋_GB2312" w:eastAsia="仿宋_GB2312" w:cs="仿宋_GB2312"/>
          <w:kern w:val="0"/>
          <w:sz w:val="32"/>
          <w:szCs w:val="32"/>
        </w:rPr>
        <w:t>%。其中：流动资产</w:t>
      </w:r>
      <w:r>
        <w:rPr>
          <w:rFonts w:hint="eastAsia" w:ascii="仿宋_GB2312" w:hAnsi="仿宋_GB2312" w:eastAsia="仿宋_GB2312" w:cs="仿宋_GB2312"/>
          <w:kern w:val="0"/>
          <w:sz w:val="32"/>
          <w:szCs w:val="32"/>
          <w:lang w:val="en-US" w:eastAsia="zh-CN"/>
        </w:rPr>
        <w:t>2734.36</w:t>
      </w:r>
      <w:r>
        <w:rPr>
          <w:rFonts w:hint="eastAsia" w:ascii="仿宋_GB2312" w:hAnsi="仿宋_GB2312" w:eastAsia="仿宋_GB2312" w:cs="仿宋_GB2312"/>
          <w:kern w:val="0"/>
          <w:sz w:val="32"/>
          <w:szCs w:val="32"/>
        </w:rPr>
        <w:t>元，占总资产的</w:t>
      </w:r>
      <w:r>
        <w:rPr>
          <w:rFonts w:hint="eastAsia" w:ascii="仿宋_GB2312" w:hAnsi="仿宋_GB2312" w:eastAsia="仿宋_GB2312" w:cs="仿宋_GB2312"/>
          <w:kern w:val="0"/>
          <w:sz w:val="32"/>
          <w:szCs w:val="32"/>
          <w:lang w:val="en-US" w:eastAsia="zh-CN"/>
        </w:rPr>
        <w:t>5.48</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资产总额增加的</w:t>
      </w:r>
      <w:r>
        <w:rPr>
          <w:rFonts w:hint="eastAsia" w:ascii="仿宋_GB2312" w:hAnsi="仿宋_GB2312" w:eastAsia="仿宋_GB2312" w:cs="仿宋_GB2312"/>
          <w:kern w:val="0"/>
          <w:sz w:val="32"/>
          <w:szCs w:val="32"/>
        </w:rPr>
        <w:t>主要原因</w:t>
      </w:r>
      <w:r>
        <w:rPr>
          <w:rFonts w:hint="eastAsia" w:ascii="仿宋_GB2312" w:hAnsi="仿宋_GB2312" w:eastAsia="仿宋_GB2312" w:cs="仿宋_GB2312"/>
          <w:kern w:val="0"/>
          <w:sz w:val="32"/>
          <w:szCs w:val="32"/>
          <w:lang w:eastAsia="zh-CN"/>
        </w:rPr>
        <w:t>为新购涉密电脑及打印机</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套价值</w:t>
      </w:r>
      <w:r>
        <w:rPr>
          <w:rFonts w:hint="eastAsia" w:ascii="仿宋_GB2312" w:hAnsi="仿宋_GB2312" w:eastAsia="仿宋_GB2312" w:cs="仿宋_GB2312"/>
          <w:kern w:val="0"/>
          <w:sz w:val="32"/>
          <w:szCs w:val="32"/>
          <w:lang w:val="en-US" w:eastAsia="zh-CN"/>
        </w:rPr>
        <w:t>23920.00元，除湿机1台价值1200元，保密柜1台1860元，定制物品摆放架3个价值4500元，办公桌椅凳1批价值8078元，无偿调出至勐糯中心学校电脑5台价值25879.92元</w:t>
      </w:r>
      <w:r>
        <w:rPr>
          <w:rFonts w:hint="eastAsia" w:ascii="仿宋_GB2312" w:hAnsi="仿宋_GB2312" w:eastAsia="仿宋_GB2312" w:cs="仿宋_GB2312"/>
          <w:sz w:val="32"/>
          <w:szCs w:val="32"/>
          <w:lang w:eastAsia="zh-CN"/>
        </w:rPr>
        <w:t>。</w:t>
      </w:r>
    </w:p>
    <w:p w14:paraId="2DB7F10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2025年财务指标与上年同期对比情况如下表所示：</w:t>
      </w:r>
    </w:p>
    <w:tbl>
      <w:tblPr>
        <w:tblStyle w:val="13"/>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4"/>
        <w:gridCol w:w="1855"/>
        <w:gridCol w:w="2615"/>
      </w:tblGrid>
      <w:tr w14:paraId="7899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3FC33A84">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b w:val="0"/>
                <w:bCs w:val="0"/>
                <w:kern w:val="0"/>
                <w:sz w:val="32"/>
                <w:szCs w:val="32"/>
                <w:lang w:eastAsia="zh-CN"/>
              </w:rPr>
              <w:t>指标项目</w:t>
            </w:r>
          </w:p>
        </w:tc>
        <w:tc>
          <w:tcPr>
            <w:tcW w:w="1855" w:type="dxa"/>
            <w:noWrap w:val="0"/>
            <w:vAlign w:val="center"/>
          </w:tcPr>
          <w:p w14:paraId="26C77D32">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2024年</w:t>
            </w:r>
          </w:p>
        </w:tc>
        <w:tc>
          <w:tcPr>
            <w:tcW w:w="2615" w:type="dxa"/>
            <w:noWrap w:val="0"/>
            <w:vAlign w:val="center"/>
          </w:tcPr>
          <w:p w14:paraId="62E1F47A">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2025年</w:t>
            </w:r>
          </w:p>
        </w:tc>
      </w:tr>
      <w:tr w14:paraId="33E1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1FD92780">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资产负责率</w:t>
            </w:r>
          </w:p>
        </w:tc>
        <w:tc>
          <w:tcPr>
            <w:tcW w:w="1855" w:type="dxa"/>
            <w:noWrap w:val="0"/>
            <w:vAlign w:val="center"/>
          </w:tcPr>
          <w:p w14:paraId="595864B0">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18.15%</w:t>
            </w:r>
          </w:p>
        </w:tc>
        <w:tc>
          <w:tcPr>
            <w:tcW w:w="2615" w:type="dxa"/>
            <w:noWrap w:val="0"/>
            <w:vAlign w:val="center"/>
          </w:tcPr>
          <w:p w14:paraId="3BD3CAEF">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5.48%</w:t>
            </w:r>
          </w:p>
        </w:tc>
      </w:tr>
      <w:tr w14:paraId="440C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71E05156">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流动比率</w:t>
            </w:r>
          </w:p>
        </w:tc>
        <w:tc>
          <w:tcPr>
            <w:tcW w:w="1855" w:type="dxa"/>
            <w:noWrap w:val="0"/>
            <w:vAlign w:val="center"/>
          </w:tcPr>
          <w:p w14:paraId="06CDDA54">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c>
          <w:tcPr>
            <w:tcW w:w="2615" w:type="dxa"/>
            <w:noWrap w:val="0"/>
            <w:vAlign w:val="center"/>
          </w:tcPr>
          <w:p w14:paraId="034476DA">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r w14:paraId="75CF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06D9EA1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速动比率</w:t>
            </w:r>
          </w:p>
        </w:tc>
        <w:tc>
          <w:tcPr>
            <w:tcW w:w="1855" w:type="dxa"/>
            <w:noWrap w:val="0"/>
            <w:vAlign w:val="center"/>
          </w:tcPr>
          <w:p w14:paraId="18552F74">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c>
          <w:tcPr>
            <w:tcW w:w="2615" w:type="dxa"/>
            <w:noWrap w:val="0"/>
            <w:vAlign w:val="center"/>
          </w:tcPr>
          <w:p w14:paraId="347B9F87">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100%</w:t>
            </w:r>
          </w:p>
        </w:tc>
      </w:tr>
      <w:tr w14:paraId="67F3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4EA7074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支出增长率   </w:t>
            </w:r>
          </w:p>
        </w:tc>
        <w:tc>
          <w:tcPr>
            <w:tcW w:w="1855" w:type="dxa"/>
            <w:noWrap w:val="0"/>
            <w:vAlign w:val="center"/>
          </w:tcPr>
          <w:p w14:paraId="3B3F7D1D">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22.88%</w:t>
            </w:r>
          </w:p>
        </w:tc>
        <w:tc>
          <w:tcPr>
            <w:tcW w:w="2615" w:type="dxa"/>
            <w:noWrap w:val="0"/>
            <w:vAlign w:val="center"/>
          </w:tcPr>
          <w:p w14:paraId="491D880F">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39.68%</w:t>
            </w:r>
          </w:p>
        </w:tc>
      </w:tr>
      <w:tr w14:paraId="62D7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23638816">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当年预算支出完成率</w:t>
            </w:r>
          </w:p>
        </w:tc>
        <w:tc>
          <w:tcPr>
            <w:tcW w:w="1855" w:type="dxa"/>
            <w:noWrap w:val="0"/>
            <w:vAlign w:val="center"/>
          </w:tcPr>
          <w:p w14:paraId="2C77A661">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121.38%</w:t>
            </w:r>
          </w:p>
        </w:tc>
        <w:tc>
          <w:tcPr>
            <w:tcW w:w="2615" w:type="dxa"/>
            <w:noWrap w:val="0"/>
            <w:vAlign w:val="center"/>
          </w:tcPr>
          <w:p w14:paraId="4B63B254">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121.07%</w:t>
            </w:r>
          </w:p>
        </w:tc>
      </w:tr>
      <w:tr w14:paraId="6419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3864" w:type="dxa"/>
            <w:noWrap w:val="0"/>
            <w:vAlign w:val="top"/>
          </w:tcPr>
          <w:p w14:paraId="1CB5EDD2">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人均开支</w:t>
            </w:r>
          </w:p>
        </w:tc>
        <w:tc>
          <w:tcPr>
            <w:tcW w:w="1855" w:type="dxa"/>
            <w:noWrap w:val="0"/>
            <w:vAlign w:val="center"/>
          </w:tcPr>
          <w:p w14:paraId="7FDB0A8A">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136563.43</w:t>
            </w:r>
          </w:p>
        </w:tc>
        <w:tc>
          <w:tcPr>
            <w:tcW w:w="2615" w:type="dxa"/>
            <w:noWrap w:val="0"/>
            <w:vAlign w:val="center"/>
          </w:tcPr>
          <w:p w14:paraId="2DFF978E">
            <w:pPr>
              <w:keepNext w:val="0"/>
              <w:keepLines w:val="0"/>
              <w:pageBreakBefore w:val="0"/>
              <w:kinsoku/>
              <w:wordWrap/>
              <w:overflowPunct/>
              <w:topLinePunct w:val="0"/>
              <w:autoSpaceDE/>
              <w:autoSpaceDN/>
              <w:bidi w:val="0"/>
              <w:adjustRightInd/>
              <w:spacing w:line="520" w:lineRule="exact"/>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177123.00</w:t>
            </w:r>
          </w:p>
        </w:tc>
      </w:tr>
      <w:tr w14:paraId="7615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4BBFA68A">
            <w:pPr>
              <w:keepNext w:val="0"/>
              <w:keepLines w:val="0"/>
              <w:pageBreakBefore w:val="0"/>
              <w:kinsoku/>
              <w:wordWrap/>
              <w:overflowPunct/>
              <w:topLinePunct w:val="0"/>
              <w:autoSpaceDE/>
              <w:autoSpaceDN/>
              <w:bidi w:val="0"/>
              <w:adjustRightInd/>
              <w:spacing w:line="520" w:lineRule="exact"/>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项目支出占总支出的比率</w:t>
            </w:r>
          </w:p>
        </w:tc>
        <w:tc>
          <w:tcPr>
            <w:tcW w:w="1855" w:type="dxa"/>
            <w:noWrap w:val="0"/>
            <w:vAlign w:val="center"/>
          </w:tcPr>
          <w:p w14:paraId="61FA92FD">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9.62%</w:t>
            </w:r>
          </w:p>
        </w:tc>
        <w:tc>
          <w:tcPr>
            <w:tcW w:w="2615" w:type="dxa"/>
            <w:noWrap w:val="0"/>
            <w:vAlign w:val="center"/>
          </w:tcPr>
          <w:p w14:paraId="662121B2">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8.32%</w:t>
            </w:r>
          </w:p>
        </w:tc>
      </w:tr>
      <w:tr w14:paraId="0973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6FD52A6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人员支出比率</w:t>
            </w:r>
          </w:p>
        </w:tc>
        <w:tc>
          <w:tcPr>
            <w:tcW w:w="1855" w:type="dxa"/>
            <w:noWrap w:val="0"/>
            <w:vAlign w:val="center"/>
          </w:tcPr>
          <w:p w14:paraId="264A812A">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84.07%</w:t>
            </w:r>
          </w:p>
        </w:tc>
        <w:tc>
          <w:tcPr>
            <w:tcW w:w="2615" w:type="dxa"/>
            <w:noWrap w:val="0"/>
            <w:vAlign w:val="center"/>
          </w:tcPr>
          <w:p w14:paraId="230B4D54">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85.04%</w:t>
            </w:r>
          </w:p>
        </w:tc>
      </w:tr>
      <w:tr w14:paraId="4731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15B36620">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公用支出比率</w:t>
            </w:r>
          </w:p>
        </w:tc>
        <w:tc>
          <w:tcPr>
            <w:tcW w:w="1855" w:type="dxa"/>
            <w:noWrap w:val="0"/>
            <w:vAlign w:val="center"/>
          </w:tcPr>
          <w:p w14:paraId="4E82E3C8">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6.31%</w:t>
            </w:r>
          </w:p>
        </w:tc>
        <w:tc>
          <w:tcPr>
            <w:tcW w:w="2615" w:type="dxa"/>
            <w:noWrap w:val="0"/>
            <w:vAlign w:val="center"/>
          </w:tcPr>
          <w:p w14:paraId="408FD86A">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6.64%</w:t>
            </w:r>
          </w:p>
        </w:tc>
      </w:tr>
      <w:tr w14:paraId="717F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4" w:type="dxa"/>
            <w:noWrap w:val="0"/>
            <w:vAlign w:val="top"/>
          </w:tcPr>
          <w:p w14:paraId="29D7C38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人均办公使用面积</w:t>
            </w:r>
          </w:p>
        </w:tc>
        <w:tc>
          <w:tcPr>
            <w:tcW w:w="1855" w:type="dxa"/>
            <w:noWrap w:val="0"/>
            <w:vAlign w:val="center"/>
          </w:tcPr>
          <w:p w14:paraId="07F4A4E3">
            <w:pPr>
              <w:keepNext w:val="0"/>
              <w:keepLines w:val="0"/>
              <w:pageBreakBefore w:val="0"/>
              <w:kinsoku/>
              <w:wordWrap/>
              <w:overflowPunct/>
              <w:topLinePunct w:val="0"/>
              <w:autoSpaceDE/>
              <w:autoSpaceDN/>
              <w:bidi w:val="0"/>
              <w:adjustRightInd/>
              <w:spacing w:line="520" w:lineRule="exact"/>
              <w:jc w:val="center"/>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5.9m</w:t>
            </w:r>
            <w:r>
              <w:rPr>
                <w:rFonts w:hint="eastAsia" w:ascii="仿宋_GB2312" w:hAnsi="仿宋_GB2312" w:eastAsia="仿宋_GB2312" w:cs="仿宋_GB2312"/>
                <w:kern w:val="0"/>
                <w:sz w:val="32"/>
                <w:szCs w:val="32"/>
                <w:vertAlign w:val="superscript"/>
                <w:lang w:val="en-US" w:eastAsia="zh-CN"/>
              </w:rPr>
              <w:t>2</w:t>
            </w:r>
          </w:p>
        </w:tc>
        <w:tc>
          <w:tcPr>
            <w:tcW w:w="2615" w:type="dxa"/>
            <w:noWrap w:val="0"/>
            <w:vAlign w:val="center"/>
          </w:tcPr>
          <w:p w14:paraId="04183AEC">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5.9m</w:t>
            </w:r>
            <w:r>
              <w:rPr>
                <w:rFonts w:hint="eastAsia" w:ascii="仿宋_GB2312" w:hAnsi="仿宋_GB2312" w:eastAsia="仿宋_GB2312" w:cs="仿宋_GB2312"/>
                <w:kern w:val="0"/>
                <w:sz w:val="32"/>
                <w:szCs w:val="32"/>
                <w:vertAlign w:val="superscript"/>
                <w:lang w:val="en-US" w:eastAsia="zh-CN"/>
              </w:rPr>
              <w:t>2</w:t>
            </w:r>
          </w:p>
        </w:tc>
      </w:tr>
    </w:tbl>
    <w:p w14:paraId="6DEEE7DC">
      <w:pPr>
        <w:keepNext w:val="0"/>
        <w:keepLines w:val="0"/>
        <w:pageBreakBefore w:val="0"/>
        <w:numPr>
          <w:ilvl w:val="0"/>
          <w:numId w:val="0"/>
        </w:numPr>
        <w:kinsoku/>
        <w:wordWrap/>
        <w:overflowPunct/>
        <w:topLinePunct w:val="0"/>
        <w:autoSpaceDE/>
        <w:autoSpaceDN/>
        <w:bidi w:val="0"/>
        <w:adjustRightInd/>
        <w:spacing w:line="520" w:lineRule="exact"/>
        <w:ind w:firstLine="320" w:firstLineChars="100"/>
        <w:jc w:val="both"/>
        <w:textAlignment w:val="auto"/>
        <w:rPr>
          <w:rFonts w:hint="default" w:ascii="方正仿宋_GBK" w:hAnsi="方正仿宋_GBK" w:eastAsia="方正仿宋_GBK" w:cs="方正仿宋_GBK"/>
          <w:b w:val="0"/>
          <w:bCs/>
          <w:sz w:val="30"/>
          <w:szCs w:val="30"/>
          <w:lang w:val="en-US" w:eastAsia="zh-CN"/>
        </w:rPr>
      </w:pPr>
      <w:r>
        <w:rPr>
          <w:rFonts w:hint="eastAsia" w:ascii="仿宋_GB2312" w:hAnsi="仿宋_GB2312" w:eastAsia="仿宋_GB2312" w:cs="仿宋_GB2312"/>
          <w:b w:val="0"/>
          <w:bCs/>
          <w:sz w:val="32"/>
          <w:szCs w:val="32"/>
          <w:lang w:eastAsia="zh-CN"/>
        </w:rPr>
        <w:t>由上表，</w:t>
      </w:r>
      <w:r>
        <w:rPr>
          <w:rFonts w:hint="eastAsia" w:ascii="仿宋_GB2312" w:hAnsi="仿宋_GB2312" w:eastAsia="仿宋_GB2312" w:cs="仿宋_GB2312"/>
          <w:b w:val="0"/>
          <w:bCs/>
          <w:sz w:val="32"/>
          <w:szCs w:val="32"/>
          <w:lang w:val="en-US" w:eastAsia="zh-CN"/>
        </w:rPr>
        <w:t>2025年资产负债率为5.48%，较上年18.15%下降12.67%，负债总额占资产总额的比例下降，主要原因为将以前年度错列费用放“其他应付款”转博爱专户。</w:t>
      </w:r>
    </w:p>
    <w:p w14:paraId="7DE207A4">
      <w:pPr>
        <w:keepNext w:val="0"/>
        <w:keepLines w:val="0"/>
        <w:pageBreakBefore w:val="0"/>
        <w:numPr>
          <w:ilvl w:val="0"/>
          <w:numId w:val="0"/>
        </w:numPr>
        <w:kinsoku/>
        <w:wordWrap/>
        <w:overflowPunct/>
        <w:topLinePunct w:val="0"/>
        <w:autoSpaceDE/>
        <w:autoSpaceDN/>
        <w:bidi w:val="0"/>
        <w:adjustRightInd/>
        <w:spacing w:line="520" w:lineRule="exact"/>
        <w:ind w:firstLine="321" w:firstLineChars="100"/>
        <w:jc w:val="both"/>
        <w:textAlignment w:val="auto"/>
        <w:rPr>
          <w:rFonts w:hint="eastAsia" w:ascii="楷体_GB2312" w:hAnsi="仿宋" w:eastAsia="楷体_GB2312" w:cs="Times New Roman"/>
          <w:b/>
          <w:sz w:val="32"/>
          <w:szCs w:val="32"/>
          <w:lang w:eastAsia="zh-CN"/>
        </w:rPr>
      </w:pPr>
      <w:r>
        <w:rPr>
          <w:rFonts w:hint="eastAsia" w:ascii="楷体_GB2312" w:hAnsi="仿宋" w:eastAsia="楷体_GB2312" w:cs="Times New Roman"/>
          <w:b/>
          <w:sz w:val="32"/>
          <w:szCs w:val="32"/>
          <w:lang w:eastAsia="zh-CN"/>
        </w:rPr>
        <w:t>（五）绩效目标完成情况。</w:t>
      </w:r>
    </w:p>
    <w:p w14:paraId="16CA737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1.概述项目绩效目标完成情况。</w:t>
      </w:r>
    </w:p>
    <w:p w14:paraId="5CDA717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rPr>
        <w:t>2025项目支出共计103098.00元，与上年同期85369.37元对比增加17728.63元，增长20.77%。</w:t>
      </w:r>
      <w:r>
        <w:rPr>
          <w:rFonts w:hint="eastAsia" w:ascii="仿宋_GB2312" w:hAnsi="仿宋_GB2312" w:eastAsia="仿宋_GB2312" w:cs="仿宋_GB2312"/>
          <w:kern w:val="0"/>
          <w:sz w:val="32"/>
          <w:szCs w:val="32"/>
          <w:lang w:val="en-US" w:eastAsia="zh-CN" w:bidi="ar"/>
        </w:rPr>
        <w:t>一是开展博爱进万家活动。开展“博爱送万家”送温暖活动，以实际行动把党和政府及社会各界爱心人士的关爱及时送到千家万户；二是以“龙陵县博爱基金”为基础，继续在全县范围内组织开展博爱募捐救助活动，助</w:t>
      </w:r>
      <w:bookmarkStart w:id="2" w:name="_GoBack"/>
      <w:bookmarkEnd w:id="2"/>
      <w:r>
        <w:rPr>
          <w:rFonts w:hint="eastAsia" w:ascii="仿宋_GB2312" w:hAnsi="仿宋_GB2312" w:eastAsia="仿宋_GB2312" w:cs="仿宋_GB2312"/>
          <w:kern w:val="0"/>
          <w:sz w:val="32"/>
          <w:szCs w:val="32"/>
          <w:lang w:val="en-US" w:eastAsia="zh-CN" w:bidi="ar"/>
        </w:rPr>
        <w:t>力扶贫工作；三是积极在全县开展脊柱畸形、先天性心脏病、白血病、艾滋病的疾病患者的筛查及救助工作。</w:t>
      </w:r>
    </w:p>
    <w:p w14:paraId="610C1EC4">
      <w:pPr>
        <w:keepNext w:val="0"/>
        <w:keepLines w:val="0"/>
        <w:pageBreakBefore w:val="0"/>
        <w:numPr>
          <w:ilvl w:val="0"/>
          <w:numId w:val="0"/>
        </w:numPr>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概述下属单位整体支出绩效目标实现情况</w:t>
      </w:r>
      <w:r>
        <w:rPr>
          <w:rFonts w:hint="eastAsia" w:ascii="仿宋_GB2312" w:hAnsi="仿宋_GB2312" w:eastAsia="仿宋_GB2312" w:cs="仿宋_GB2312"/>
          <w:kern w:val="0"/>
          <w:sz w:val="32"/>
          <w:szCs w:val="32"/>
          <w:lang w:eastAsia="zh-CN"/>
        </w:rPr>
        <w:t>。</w:t>
      </w:r>
    </w:p>
    <w:p w14:paraId="5F7C8202">
      <w:pPr>
        <w:keepNext w:val="0"/>
        <w:keepLines w:val="0"/>
        <w:pageBreakBefore w:val="0"/>
        <w:numPr>
          <w:ilvl w:val="0"/>
          <w:numId w:val="0"/>
        </w:numPr>
        <w:kinsoku/>
        <w:wordWrap/>
        <w:overflowPunct/>
        <w:topLinePunct w:val="0"/>
        <w:autoSpaceDE/>
        <w:autoSpaceDN/>
        <w:bidi w:val="0"/>
        <w:adjustRightInd/>
        <w:spacing w:line="520" w:lineRule="exact"/>
        <w:jc w:val="both"/>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无。</w:t>
      </w:r>
    </w:p>
    <w:p w14:paraId="31165382">
      <w:pPr>
        <w:keepNext w:val="0"/>
        <w:keepLines w:val="0"/>
        <w:pageBreakBefore w:val="0"/>
        <w:kinsoku/>
        <w:wordWrap/>
        <w:overflowPunct/>
        <w:topLinePunct w:val="0"/>
        <w:autoSpaceDE/>
        <w:autoSpaceDN/>
        <w:bidi w:val="0"/>
        <w:adjustRightInd/>
        <w:spacing w:line="520" w:lineRule="exact"/>
        <w:ind w:firstLine="643" w:firstLineChars="200"/>
        <w:jc w:val="both"/>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（六）当年预算执行及绩效管理中存在问题、原因及改进措施。</w:t>
      </w:r>
    </w:p>
    <w:p w14:paraId="2FB8330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1.存在的问题及原因：</w:t>
      </w:r>
    </w:p>
    <w:p w14:paraId="01FC79D0">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项目申报前期测算不科学。预算申报的项目，应该建立在科学测算、整体评估、切合实际的基础上。但因缺乏前期的详细调研和科学测算，使预算脱离实际需要。实际执行之后，有的项目还需要改变实施计划，而造成资金暂缓使用，形成资金结存；有的项目资金又可能不够，造成项目不能按时按质按量完成，需要继续向财政部门申请资金，影响了财政资金的使用效益。</w:t>
      </w:r>
    </w:p>
    <w:p w14:paraId="3A89851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第二，部门单位内部控制制度不完善。编制部门预算要求完整、科学、细化，目的是在各预算单位之间统一口径、公允分配，优化公共资源配置，共同提高公共财政的服务质量，促进公共财政效益的最大化。但缺乏完善的内部控制制度，没有严格按照预算来安排财政资金的使用，支出管理制度不健全。只有建立完善的内部控制制度，才能较好的控制预算开支的量和度，做到财尽其用，用得其所。</w:t>
      </w:r>
    </w:p>
    <w:p w14:paraId="4AEAB30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2.改进措施：</w:t>
      </w:r>
    </w:p>
    <w:p w14:paraId="711B1E0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第一，增强预算编制的科学性和可行性。预算编制是预算执行的基础和依据，是严格预算执行的第一道关口。各部门预算单位编制年初预算要根据自身职能目标拟定，参考上年度预算执行情况、相关支出绩效评价结果和本年度的收支预测，按照规定程序多方征求意见。项目申报前期要进行充分的调查研究，严格论证项目实施的充分性和必要性，合理测算所需财政资金的多少，必须有足够的测算依据，准确评估财政资金投入使用的效益，提高预算编制的科学性。</w:t>
      </w:r>
    </w:p>
    <w:p w14:paraId="12D33A44">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第二，建立健全部门单位内部控制制度。为了严格预算执行，保障部门单位顺利履行行政管理职能，防范财务风险，确保财政资金使用安全，控制铺张浪费，必须建立健全内部控制制度。首先是要完善建章立制，内部控制不是局限在作用于财务管理层面，而是要建成一套环环相扣的动态监督机制，在全局业务运作过程中发挥作用。其次是要提高内部控制意识，认识到内部控制的重要性，让单位所有职工都参与到内部控制的执行中，营造出内部控制的氛围。再次要充分发挥内部审计在内部控制中的作用，重视事前审计，在事前提出建议供领导参考，提早纠正违法违规行为，以免造成重大损失。最后要实行关键岗位职工定期轮岗，形成职工的有序流动，防范风险。</w:t>
      </w:r>
    </w:p>
    <w:p w14:paraId="27DBD7E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三、本年度部门决算等财务工作开展情况</w:t>
      </w:r>
    </w:p>
    <w:p w14:paraId="4985FA50">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val="0"/>
          <w:bCs w:val="0"/>
          <w:kern w:val="0"/>
          <w:sz w:val="32"/>
          <w:szCs w:val="32"/>
        </w:rPr>
        <w:t>（一）本部门财务管理、绩效管理、决算组织、编报、审核情况。</w:t>
      </w:r>
    </w:p>
    <w:p w14:paraId="6880071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对财务管理进行规范化，同财政部门及时沟通学习，积极进行财政部门组织的决算、编报、审核等方面工作按时完成，认真如实填报。</w:t>
      </w:r>
    </w:p>
    <w:p w14:paraId="2CA037C7">
      <w:pPr>
        <w:keepNext w:val="0"/>
        <w:keepLines w:val="0"/>
        <w:pageBreakBefore w:val="0"/>
        <w:kinsoku/>
        <w:wordWrap/>
        <w:overflowPunct/>
        <w:topLinePunct w:val="0"/>
        <w:autoSpaceDE/>
        <w:autoSpaceDN/>
        <w:bidi w:val="0"/>
        <w:adjustRightInd/>
        <w:snapToGrid w:val="0"/>
        <w:spacing w:line="520" w:lineRule="exact"/>
        <w:ind w:firstLine="640" w:firstLineChars="200"/>
        <w:rPr>
          <w:rFonts w:hint="eastAsia" w:ascii="楷体_GB2312" w:hAnsi="楷体_GB2312" w:eastAsia="楷体_GB2312" w:cs="楷体_GB2312"/>
          <w:kern w:val="0"/>
          <w:sz w:val="32"/>
          <w:szCs w:val="32"/>
        </w:rPr>
      </w:pPr>
      <w:r>
        <w:rPr>
          <w:rFonts w:hint="eastAsia" w:ascii="楷体_GB2312" w:hAnsi="楷体_GB2312" w:eastAsia="楷体_GB2312" w:cs="楷体_GB2312"/>
          <w:sz w:val="32"/>
          <w:szCs w:val="32"/>
        </w:rPr>
        <w:t>（二）本单位决算及绩效信息公开工作开展情况。</w:t>
      </w:r>
    </w:p>
    <w:p w14:paraId="0C9CB5E0">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各项工作按规定认真执行，</w:t>
      </w:r>
      <w:r>
        <w:rPr>
          <w:rFonts w:hint="eastAsia" w:ascii="仿宋_GB2312" w:hAnsi="仿宋_GB2312" w:eastAsia="仿宋_GB2312" w:cs="仿宋_GB2312"/>
          <w:kern w:val="0"/>
          <w:sz w:val="32"/>
          <w:szCs w:val="32"/>
          <w:lang w:eastAsia="zh-CN"/>
        </w:rPr>
        <w:t>按时按量填报公开</w:t>
      </w:r>
      <w:r>
        <w:rPr>
          <w:rFonts w:hint="eastAsia" w:ascii="仿宋_GB2312" w:hAnsi="仿宋_GB2312" w:eastAsia="仿宋_GB2312" w:cs="仿宋_GB2312"/>
          <w:kern w:val="0"/>
          <w:sz w:val="32"/>
          <w:szCs w:val="32"/>
        </w:rPr>
        <w:t>。</w:t>
      </w:r>
    </w:p>
    <w:p w14:paraId="11677E98">
      <w:pPr>
        <w:keepNext w:val="0"/>
        <w:keepLines w:val="0"/>
        <w:pageBreakBefore w:val="0"/>
        <w:kinsoku/>
        <w:wordWrap/>
        <w:overflowPunct/>
        <w:topLinePunct w:val="0"/>
        <w:autoSpaceDE/>
        <w:autoSpaceDN/>
        <w:bidi w:val="0"/>
        <w:adjustRightInd/>
        <w:snapToGrid w:val="0"/>
        <w:spacing w:line="520" w:lineRule="exact"/>
        <w:ind w:firstLine="640" w:firstLineChars="200"/>
        <w:rPr>
          <w:rFonts w:ascii="楷体_GB2312" w:hAnsi="仿宋" w:eastAsia="楷体_GB2312"/>
          <w:b/>
          <w:sz w:val="32"/>
          <w:szCs w:val="32"/>
        </w:rPr>
      </w:pPr>
      <w:r>
        <w:rPr>
          <w:rFonts w:hint="eastAsia" w:ascii="楷体_GB2312" w:hAnsi="楷体_GB2312" w:eastAsia="楷体_GB2312" w:cs="楷体_GB2312"/>
          <w:sz w:val="32"/>
          <w:szCs w:val="32"/>
        </w:rPr>
        <w:t>（三）对部门决算管理工作的意见和建议。</w:t>
      </w:r>
    </w:p>
    <w:p w14:paraId="0B9FF6E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1.</w:t>
      </w:r>
      <w:r>
        <w:rPr>
          <w:rFonts w:hint="eastAsia" w:ascii="仿宋_GB2312" w:hAnsi="仿宋_GB2312" w:eastAsia="仿宋_GB2312" w:cs="仿宋_GB2312"/>
          <w:kern w:val="0"/>
          <w:sz w:val="32"/>
          <w:szCs w:val="32"/>
        </w:rPr>
        <w:t>优化</w:t>
      </w:r>
      <w:r>
        <w:rPr>
          <w:rFonts w:hint="eastAsia" w:ascii="仿宋_GB2312" w:hAnsi="仿宋_GB2312" w:eastAsia="仿宋_GB2312" w:cs="仿宋_GB2312"/>
          <w:kern w:val="0"/>
          <w:sz w:val="32"/>
          <w:szCs w:val="32"/>
          <w:lang w:eastAsia="zh-CN"/>
        </w:rPr>
        <w:t>编报</w:t>
      </w:r>
      <w:r>
        <w:rPr>
          <w:rFonts w:hint="eastAsia" w:ascii="仿宋_GB2312" w:hAnsi="仿宋_GB2312" w:eastAsia="仿宋_GB2312" w:cs="仿宋_GB2312"/>
          <w:kern w:val="0"/>
          <w:sz w:val="32"/>
          <w:szCs w:val="32"/>
        </w:rPr>
        <w:t>系统</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部门决算报表体系随</w:t>
      </w:r>
      <w:r>
        <w:rPr>
          <w:rFonts w:hint="eastAsia" w:ascii="仿宋_GB2312" w:hAnsi="仿宋_GB2312" w:eastAsia="仿宋_GB2312" w:cs="仿宋_GB2312"/>
          <w:kern w:val="0"/>
          <w:sz w:val="32"/>
          <w:szCs w:val="32"/>
          <w:lang w:eastAsia="zh-CN"/>
        </w:rPr>
        <w:t>着</w:t>
      </w:r>
      <w:r>
        <w:rPr>
          <w:rFonts w:hint="eastAsia" w:ascii="仿宋_GB2312" w:hAnsi="仿宋_GB2312" w:eastAsia="仿宋_GB2312" w:cs="仿宋_GB2312"/>
          <w:kern w:val="0"/>
          <w:sz w:val="32"/>
          <w:szCs w:val="32"/>
        </w:rPr>
        <w:t>财政财务管理体制的改革不断演变，目前部门决算结构体系还有待进一步</w:t>
      </w:r>
      <w:r>
        <w:rPr>
          <w:rFonts w:hint="eastAsia" w:ascii="仿宋_GB2312" w:hAnsi="仿宋_GB2312" w:eastAsia="仿宋_GB2312" w:cs="仿宋_GB2312"/>
          <w:kern w:val="0"/>
          <w:sz w:val="32"/>
          <w:szCs w:val="32"/>
          <w:lang w:eastAsia="zh-CN"/>
        </w:rPr>
        <w:t>完善</w:t>
      </w:r>
      <w:r>
        <w:rPr>
          <w:rFonts w:hint="eastAsia" w:ascii="仿宋_GB2312" w:hAnsi="仿宋_GB2312" w:eastAsia="仿宋_GB2312" w:cs="仿宋_GB2312"/>
          <w:kern w:val="0"/>
          <w:sz w:val="32"/>
          <w:szCs w:val="32"/>
        </w:rPr>
        <w:t>。一是精简任务。按照部门决算使用者需求和使用效率，决算任务应进一步</w:t>
      </w:r>
      <w:r>
        <w:rPr>
          <w:rFonts w:hint="eastAsia" w:ascii="仿宋_GB2312" w:hAnsi="仿宋_GB2312" w:eastAsia="仿宋_GB2312" w:cs="仿宋_GB2312"/>
          <w:kern w:val="0"/>
          <w:sz w:val="32"/>
          <w:szCs w:val="32"/>
          <w:lang w:eastAsia="zh-CN"/>
        </w:rPr>
        <w:t>调</w:t>
      </w:r>
      <w:r>
        <w:rPr>
          <w:rFonts w:hint="eastAsia" w:ascii="仿宋_GB2312" w:hAnsi="仿宋_GB2312" w:eastAsia="仿宋_GB2312" w:cs="仿宋_GB2312"/>
          <w:kern w:val="0"/>
          <w:sz w:val="32"/>
          <w:szCs w:val="32"/>
        </w:rPr>
        <w:t>整，报表可适当精简，化繁为简。二是优化审核公式。按照“真实、准确、全面、及时”的</w:t>
      </w:r>
      <w:r>
        <w:rPr>
          <w:rFonts w:hint="eastAsia" w:ascii="仿宋_GB2312" w:hAnsi="仿宋_GB2312" w:eastAsia="仿宋_GB2312" w:cs="仿宋_GB2312"/>
          <w:kern w:val="0"/>
          <w:sz w:val="32"/>
          <w:szCs w:val="32"/>
          <w:lang w:eastAsia="zh-CN"/>
        </w:rPr>
        <w:t>编</w:t>
      </w:r>
      <w:r>
        <w:rPr>
          <w:rFonts w:hint="eastAsia" w:ascii="仿宋_GB2312" w:hAnsi="仿宋_GB2312" w:eastAsia="仿宋_GB2312" w:cs="仿宋_GB2312"/>
          <w:kern w:val="0"/>
          <w:sz w:val="32"/>
          <w:szCs w:val="32"/>
        </w:rPr>
        <w:t>审原则</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可适当调整决算填报口径和决算参数的灵活性，使部门决算数据与部门账表一致。</w:t>
      </w:r>
    </w:p>
    <w:p w14:paraId="08E3B0C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建立完善反馈机制。部门决算的性质着决定它可以在完善部门预算缩制、提升部门财务管理水平等方面发挥更大的作用。一是建立通畅的上下级财政联动机制。在部门决算工作程序中，加入畅通有效的逆向反馈程序，让基层部门决算工作中反映的代表性强、集中度高的问题和建议能传递到顶层设计部门，更好促进部门决算管理工作。二是建立面对部门的反馈推动机制。强化部门决算工作在促进单位改善财务管理工作中的作用。</w:t>
      </w:r>
    </w:p>
    <w:p w14:paraId="351DF0C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对加强部门决算数据分析利用工作的建议。</w:t>
      </w:r>
    </w:p>
    <w:p w14:paraId="49AB335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一是将决算数据作为单位基础数据审核的参考。以真实的决算数据，统计单位机构人员情况，以此为基础，综合考虑人员增减因素，为定员定额测算提供更加准确的基础数据来源。</w:t>
      </w:r>
    </w:p>
    <w:p w14:paraId="564646E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是将决算数据作为定员定额标准制定的参考。通过真实准确的决算数据，客观反映预算单位基本支出情况，通过支出数据的分析，比较出同一地区不同预算单位之间或者系统单位内同级基层单位之间定员定额标准的差异，从而调整优化定员定额标准，实现同一地区不同基层单位之间、经济发展水平相近地区之间标准一致，缩小目前“贫富不均”的差异，进一步体现预算编制的科学性，完善预算分配体制。</w:t>
      </w:r>
    </w:p>
    <w:p w14:paraId="185929D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是将决算数据作为项目预算审核的参考。通过对决算数据的审核，可以分析出项目支出的整体情况，尤其是对于延续项目，可以通过决算数据验证项目预算编制支出计划和支出明细是否合理，项目绩效是否符合预订的目标，测算项目开展实际的经费需求，从而提高项目周期、预算需求编制的合理性。同时，探索建立决算分析评价结果在部门预算安排中的奖惩机制，让预算—决算—预算形成了一个良性循环过程。</w:t>
      </w:r>
    </w:p>
    <w:p w14:paraId="2A04E57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注：收入支出预算执行情况分析可参考部门决算分析评价表（见软件查询模板）及行政事业单位财务分析指标（附后）。</w:t>
      </w:r>
    </w:p>
    <w:p w14:paraId="33CEC3DA">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779EBB6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2A976BC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6A3FFD9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7D5E4638">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2EB896B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2607EC0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0857169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0E524D0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5AA9CB7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3C121686">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5C841FE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01B1E05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668691D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7B67E01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65D27FF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5ED4797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7A2A068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6DE068B0">
      <w:pPr>
        <w:keepNext w:val="0"/>
        <w:keepLines w:val="0"/>
        <w:pageBreakBefore w:val="0"/>
        <w:kinsoku/>
        <w:wordWrap/>
        <w:overflowPunct/>
        <w:topLinePunct w:val="0"/>
        <w:autoSpaceDE/>
        <w:autoSpaceDN/>
        <w:bidi w:val="0"/>
        <w:adjustRightInd/>
        <w:spacing w:line="520" w:lineRule="exact"/>
        <w:jc w:val="both"/>
        <w:textAlignment w:val="auto"/>
        <w:rPr>
          <w:rFonts w:hint="eastAsia" w:ascii="仿宋_GB2312" w:hAnsi="仿宋_GB2312" w:eastAsia="仿宋_GB2312" w:cs="仿宋_GB2312"/>
          <w:kern w:val="0"/>
          <w:sz w:val="32"/>
          <w:szCs w:val="32"/>
        </w:rPr>
      </w:pPr>
    </w:p>
    <w:p w14:paraId="6229D46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w:t>
      </w:r>
    </w:p>
    <w:p w14:paraId="4E777A0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405C91F5">
      <w:pPr>
        <w:keepNext w:val="0"/>
        <w:keepLines w:val="0"/>
        <w:pageBreakBefore w:val="0"/>
        <w:kinsoku/>
        <w:wordWrap/>
        <w:overflowPunct/>
        <w:topLinePunct w:val="0"/>
        <w:autoSpaceDE/>
        <w:autoSpaceDN/>
        <w:bidi w:val="0"/>
        <w:adjustRightInd/>
        <w:spacing w:line="520" w:lineRule="exact"/>
        <w:ind w:firstLine="640" w:firstLineChars="200"/>
        <w:jc w:val="center"/>
        <w:textAlignment w:val="auto"/>
        <w:rPr>
          <w:rFonts w:hint="eastAsia" w:ascii="华文中宋" w:hAnsi="华文中宋" w:eastAsia="华文中宋" w:cs="华文中宋"/>
          <w:kern w:val="0"/>
          <w:sz w:val="32"/>
          <w:szCs w:val="32"/>
        </w:rPr>
      </w:pPr>
      <w:r>
        <w:rPr>
          <w:rFonts w:hint="eastAsia" w:ascii="华文中宋" w:hAnsi="华文中宋" w:eastAsia="华文中宋" w:cs="华文中宋"/>
          <w:kern w:val="0"/>
          <w:sz w:val="32"/>
          <w:szCs w:val="32"/>
        </w:rPr>
        <w:t>行政事业单位财务分析指标</w:t>
      </w:r>
    </w:p>
    <w:p w14:paraId="6ACE462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4AC33C02">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一、行政单位财务分析指标</w:t>
      </w:r>
    </w:p>
    <w:p w14:paraId="54BDE0D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1.支出增长率，衡量行政单位支出的增长水平。计算公式为：</w:t>
      </w:r>
      <w:r>
        <w:rPr>
          <w:rFonts w:hint="eastAsia" w:ascii="仿宋_GB2312" w:hAnsi="仿宋_GB2312" w:eastAsia="仿宋_GB2312" w:cs="仿宋_GB2312"/>
          <w:kern w:val="0"/>
          <w:sz w:val="32"/>
          <w:szCs w:val="32"/>
          <w:lang w:val="en-US" w:eastAsia="zh-CN"/>
        </w:rPr>
        <w:t>-2.65%</w:t>
      </w:r>
    </w:p>
    <w:p w14:paraId="6DFE572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支出增长率＝(本期支出总额÷上期支出总额-1)×100%</w:t>
      </w:r>
    </w:p>
    <w:p w14:paraId="2C6C741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2.当年预算支出完成率，衡量行政单位当年支出总预算及分项预算完成的程度。计算公式为：</w:t>
      </w:r>
    </w:p>
    <w:p w14:paraId="4B1011A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当年预算支出完成率＝年终执行数÷（年初预算数±年中预算调整数）×100%</w:t>
      </w:r>
    </w:p>
    <w:p w14:paraId="386BE9A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年终执行数不含上年结转和结余支出数。</w:t>
      </w:r>
    </w:p>
    <w:p w14:paraId="0D58B6C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3.人均开支，衡量行政单位人均年消耗经费水平。计算公式为：</w:t>
      </w:r>
    </w:p>
    <w:p w14:paraId="4B40FEE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人均开支＝本期支出数÷本期平均在职人员数×100%</w:t>
      </w:r>
    </w:p>
    <w:p w14:paraId="4B3F505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4.项目支出占总支出的比率，衡量行政单位的支出结构。计算公式为：</w:t>
      </w:r>
    </w:p>
    <w:p w14:paraId="70E385B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项目支出比率=本期项目支出数÷本期支出总数×100%</w:t>
      </w:r>
    </w:p>
    <w:p w14:paraId="4E84BAC8">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5.人员支出、公用支出占总支出的比率，衡量行政单位的支出结构。计算公式为：</w:t>
      </w:r>
    </w:p>
    <w:p w14:paraId="4BDA5C6F">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人员支出比率=本期人员支出数÷本期支出总数×100%</w:t>
      </w:r>
    </w:p>
    <w:p w14:paraId="0CC8E616">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公用支出比率=本期公用支出数÷本期支出总数×100%</w:t>
      </w:r>
    </w:p>
    <w:p w14:paraId="5813F01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6.人均办公使用面积，衡量行政单位办公用房配备情况。计算公式为：</w:t>
      </w:r>
    </w:p>
    <w:p w14:paraId="7516AF04">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人均办公使用面积=本期末单位办公用房使用面积÷本期末在职人员数</w:t>
      </w:r>
    </w:p>
    <w:p w14:paraId="37F233E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7.人车比例，衡量行政单位公务用车配备情况。计算公式为：</w:t>
      </w:r>
    </w:p>
    <w:p w14:paraId="5F45FC71">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人车比例=本期末在职人员数÷本期末公务用车实有数</w:t>
      </w:r>
    </w:p>
    <w:p w14:paraId="7EF3DD6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600BC4C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黑体" w:hAnsi="黑体" w:eastAsia="黑体" w:cs="黑体"/>
          <w:kern w:val="0"/>
          <w:sz w:val="32"/>
          <w:szCs w:val="32"/>
        </w:rPr>
      </w:pPr>
      <w:r>
        <w:rPr>
          <w:rFonts w:hint="eastAsia" w:ascii="黑体" w:hAnsi="黑体" w:eastAsia="黑体" w:cs="黑体"/>
          <w:kern w:val="0"/>
          <w:sz w:val="32"/>
          <w:szCs w:val="32"/>
        </w:rPr>
        <w:t>二、事业单位财务分析指标</w:t>
      </w:r>
    </w:p>
    <w:p w14:paraId="3B20BF7B">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1.预算收入和支出完成率，衡量事业单位收入和支出总预算及分项预算完成的程度。计算公式为：</w:t>
      </w:r>
    </w:p>
    <w:p w14:paraId="65AB826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预算收入完成率＝年终执行数÷（年初预算数±年中预算调整数）×100%</w:t>
      </w:r>
    </w:p>
    <w:p w14:paraId="2B67E7D6">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年终执行数不含上年结转和结余收入数</w:t>
      </w:r>
    </w:p>
    <w:p w14:paraId="114B17B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预算支出完成率＝年终执行数÷（年初预算数±年中预算调整数）×100%</w:t>
      </w:r>
    </w:p>
    <w:p w14:paraId="3471C41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年终执行数不含上年结转和结余支出数</w:t>
      </w:r>
    </w:p>
    <w:p w14:paraId="4FE94D45">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2.人员支出、公用支出占事业支出的比率，衡量事业单位事业支出结构。计算公式为：</w:t>
      </w:r>
    </w:p>
    <w:p w14:paraId="39393BB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人员支出比率＝人员支出÷事业支出×100%</w:t>
      </w:r>
    </w:p>
    <w:p w14:paraId="63D27EBE">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公用支出比率＝公用支出÷事业支出×100%</w:t>
      </w:r>
    </w:p>
    <w:p w14:paraId="14D21E8D">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3.人均基本支出，衡量事业单位按照实际在编人数平均的基本支出水平。计算公式为：</w:t>
      </w:r>
    </w:p>
    <w:p w14:paraId="205AD01C">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人均基本支出＝（基本支出-离退休人员支出）÷实际在编人数</w:t>
      </w:r>
    </w:p>
    <w:p w14:paraId="68EEF8E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p>
    <w:p w14:paraId="2E51D8A7">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此外，行业事业单位还可根据相关财务制度规定和分析需要增加相关分析指标，如：</w:t>
      </w:r>
    </w:p>
    <w:p w14:paraId="26CF63E9">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1.财政拨款依存度, 衡量部门（单位）对财政拨款的依赖程度。</w:t>
      </w:r>
    </w:p>
    <w:p w14:paraId="7D276D03">
      <w:pPr>
        <w:keepNext w:val="0"/>
        <w:keepLines w:val="0"/>
        <w:pageBreakBefore w:val="0"/>
        <w:kinsoku/>
        <w:wordWrap/>
        <w:overflowPunct/>
        <w:topLinePunct w:val="0"/>
        <w:autoSpaceDE/>
        <w:autoSpaceDN/>
        <w:bidi w:val="0"/>
        <w:adjustRightInd/>
        <w:spacing w:line="52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财政拨款依存度＝财政拨款收入÷收入总额×100%</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450786"/>
    <w:multiLevelType w:val="singleLevel"/>
    <w:tmpl w:val="8E450786"/>
    <w:lvl w:ilvl="0" w:tentative="0">
      <w:start w:val="2"/>
      <w:numFmt w:val="chineseCounting"/>
      <w:lvlText w:val="（%1)"/>
      <w:lvlJc w:val="left"/>
      <w:pPr>
        <w:tabs>
          <w:tab w:val="left" w:pos="312"/>
        </w:tabs>
      </w:pPr>
      <w:rPr>
        <w:rFonts w:hint="eastAsia"/>
      </w:rPr>
    </w:lvl>
  </w:abstractNum>
  <w:abstractNum w:abstractNumId="1">
    <w:nsid w:val="AF46A957"/>
    <w:multiLevelType w:val="singleLevel"/>
    <w:tmpl w:val="AF46A957"/>
    <w:lvl w:ilvl="0" w:tentative="0">
      <w:start w:val="3"/>
      <w:numFmt w:val="chineseCounting"/>
      <w:suff w:val="nothing"/>
      <w:lvlText w:val="（%1）"/>
      <w:lvlJc w:val="left"/>
      <w:rPr>
        <w:rFonts w:hint="eastAsia"/>
      </w:rPr>
    </w:lvl>
  </w:abstractNum>
  <w:abstractNum w:abstractNumId="2">
    <w:nsid w:val="D8FC713E"/>
    <w:multiLevelType w:val="singleLevel"/>
    <w:tmpl w:val="D8FC713E"/>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MTJlMGVkZDliNWZhYzhlZTllMWVlZWY1NzE1NmYifQ=="/>
  </w:docVars>
  <w:rsids>
    <w:rsidRoot w:val="00272B54"/>
    <w:rsid w:val="00074FA4"/>
    <w:rsid w:val="00176422"/>
    <w:rsid w:val="00272B54"/>
    <w:rsid w:val="00290AF5"/>
    <w:rsid w:val="00765932"/>
    <w:rsid w:val="00790985"/>
    <w:rsid w:val="007E481C"/>
    <w:rsid w:val="00A736FE"/>
    <w:rsid w:val="00DE7C8A"/>
    <w:rsid w:val="01312E11"/>
    <w:rsid w:val="01C2163C"/>
    <w:rsid w:val="02581A3B"/>
    <w:rsid w:val="047E0019"/>
    <w:rsid w:val="053A2DE4"/>
    <w:rsid w:val="06FB2A64"/>
    <w:rsid w:val="086C1D00"/>
    <w:rsid w:val="08B3524C"/>
    <w:rsid w:val="09CF5BA2"/>
    <w:rsid w:val="0A340D84"/>
    <w:rsid w:val="0A4B5396"/>
    <w:rsid w:val="0A5F6638"/>
    <w:rsid w:val="0BEF7BDA"/>
    <w:rsid w:val="0C13414C"/>
    <w:rsid w:val="0C4B1383"/>
    <w:rsid w:val="0CEC4B24"/>
    <w:rsid w:val="0CEF2A86"/>
    <w:rsid w:val="0E172295"/>
    <w:rsid w:val="111F7999"/>
    <w:rsid w:val="12A04F4F"/>
    <w:rsid w:val="138D1A04"/>
    <w:rsid w:val="14617D69"/>
    <w:rsid w:val="16EC05B9"/>
    <w:rsid w:val="186A1272"/>
    <w:rsid w:val="186E1DB4"/>
    <w:rsid w:val="198D4594"/>
    <w:rsid w:val="19FE731E"/>
    <w:rsid w:val="1A5F105C"/>
    <w:rsid w:val="1A702E66"/>
    <w:rsid w:val="1CC7641A"/>
    <w:rsid w:val="1E182831"/>
    <w:rsid w:val="1EDC5F41"/>
    <w:rsid w:val="1F784218"/>
    <w:rsid w:val="201500E2"/>
    <w:rsid w:val="20221ECB"/>
    <w:rsid w:val="20531795"/>
    <w:rsid w:val="20BB0591"/>
    <w:rsid w:val="20C93ED5"/>
    <w:rsid w:val="20CA58B5"/>
    <w:rsid w:val="21351B59"/>
    <w:rsid w:val="224E00B5"/>
    <w:rsid w:val="23C80C72"/>
    <w:rsid w:val="24307F47"/>
    <w:rsid w:val="244B5397"/>
    <w:rsid w:val="25DA7381"/>
    <w:rsid w:val="25E226A2"/>
    <w:rsid w:val="27CB7C89"/>
    <w:rsid w:val="28B2607D"/>
    <w:rsid w:val="2AC97AE0"/>
    <w:rsid w:val="2AF275C0"/>
    <w:rsid w:val="2BA17C95"/>
    <w:rsid w:val="2BC07081"/>
    <w:rsid w:val="2CF77FCB"/>
    <w:rsid w:val="2D0B6A0E"/>
    <w:rsid w:val="2F8665C2"/>
    <w:rsid w:val="2FDC4C9F"/>
    <w:rsid w:val="30490E19"/>
    <w:rsid w:val="30560313"/>
    <w:rsid w:val="30740C71"/>
    <w:rsid w:val="30C7733B"/>
    <w:rsid w:val="31F12256"/>
    <w:rsid w:val="32544FB6"/>
    <w:rsid w:val="34BD4528"/>
    <w:rsid w:val="34EA35B4"/>
    <w:rsid w:val="358A1456"/>
    <w:rsid w:val="35982413"/>
    <w:rsid w:val="35CA7B9C"/>
    <w:rsid w:val="369C3675"/>
    <w:rsid w:val="3868082A"/>
    <w:rsid w:val="38D3572F"/>
    <w:rsid w:val="38D7229A"/>
    <w:rsid w:val="394E3A3F"/>
    <w:rsid w:val="3A32029D"/>
    <w:rsid w:val="3D442D46"/>
    <w:rsid w:val="3D660567"/>
    <w:rsid w:val="3DEF5E40"/>
    <w:rsid w:val="3E2B7513"/>
    <w:rsid w:val="3E7B1D05"/>
    <w:rsid w:val="41161B22"/>
    <w:rsid w:val="41FF1C22"/>
    <w:rsid w:val="42581DEA"/>
    <w:rsid w:val="42D225DD"/>
    <w:rsid w:val="45556285"/>
    <w:rsid w:val="4586674A"/>
    <w:rsid w:val="45F447D7"/>
    <w:rsid w:val="462A6782"/>
    <w:rsid w:val="477D1967"/>
    <w:rsid w:val="4A911C1E"/>
    <w:rsid w:val="4C374B30"/>
    <w:rsid w:val="4D007DBC"/>
    <w:rsid w:val="4D570A3B"/>
    <w:rsid w:val="4DB734BB"/>
    <w:rsid w:val="4DE43A02"/>
    <w:rsid w:val="4F3212C8"/>
    <w:rsid w:val="500208E3"/>
    <w:rsid w:val="50267B3A"/>
    <w:rsid w:val="503878F9"/>
    <w:rsid w:val="521464D8"/>
    <w:rsid w:val="54025213"/>
    <w:rsid w:val="542244E6"/>
    <w:rsid w:val="55944CBE"/>
    <w:rsid w:val="56DB1438"/>
    <w:rsid w:val="570D7FBD"/>
    <w:rsid w:val="580B323F"/>
    <w:rsid w:val="588A6E44"/>
    <w:rsid w:val="589B6584"/>
    <w:rsid w:val="58E3481A"/>
    <w:rsid w:val="59F70EE4"/>
    <w:rsid w:val="5A657F72"/>
    <w:rsid w:val="5B006028"/>
    <w:rsid w:val="5B6C6E3D"/>
    <w:rsid w:val="5D1C6BFA"/>
    <w:rsid w:val="5D792040"/>
    <w:rsid w:val="5D9B579A"/>
    <w:rsid w:val="5DDF6040"/>
    <w:rsid w:val="5F0E7032"/>
    <w:rsid w:val="5FFE5ABE"/>
    <w:rsid w:val="608A24DA"/>
    <w:rsid w:val="610619ED"/>
    <w:rsid w:val="634B438E"/>
    <w:rsid w:val="646B5BB7"/>
    <w:rsid w:val="64856C38"/>
    <w:rsid w:val="65F42404"/>
    <w:rsid w:val="66373E26"/>
    <w:rsid w:val="69F46C20"/>
    <w:rsid w:val="6B413622"/>
    <w:rsid w:val="6CA454A7"/>
    <w:rsid w:val="6CC47CD8"/>
    <w:rsid w:val="6DB077BC"/>
    <w:rsid w:val="6DC92ECC"/>
    <w:rsid w:val="6E7D57A6"/>
    <w:rsid w:val="6EA169CD"/>
    <w:rsid w:val="6EB604AE"/>
    <w:rsid w:val="6FD64A5A"/>
    <w:rsid w:val="70F27B87"/>
    <w:rsid w:val="715B5502"/>
    <w:rsid w:val="72D36E98"/>
    <w:rsid w:val="732849B5"/>
    <w:rsid w:val="74402821"/>
    <w:rsid w:val="756643B1"/>
    <w:rsid w:val="767C73C6"/>
    <w:rsid w:val="77541BF8"/>
    <w:rsid w:val="798058E5"/>
    <w:rsid w:val="7A016889"/>
    <w:rsid w:val="7A1B361C"/>
    <w:rsid w:val="7BBC607A"/>
    <w:rsid w:val="7D61510E"/>
    <w:rsid w:val="7E172A16"/>
    <w:rsid w:val="7E407B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4">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paragraph" w:styleId="5">
    <w:name w:val="heading 6"/>
    <w:basedOn w:val="1"/>
    <w:next w:val="1"/>
    <w:autoRedefine/>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6">
    <w:name w:val="heading 7"/>
    <w:basedOn w:val="1"/>
    <w:next w:val="1"/>
    <w:autoRedefine/>
    <w:unhideWhenUsed/>
    <w:qFormat/>
    <w:uiPriority w:val="0"/>
    <w:pPr>
      <w:keepNext/>
      <w:keepLines/>
      <w:spacing w:before="240" w:beforeLines="0" w:beforeAutospacing="0" w:after="64" w:afterLines="0" w:afterAutospacing="0" w:line="317" w:lineRule="auto"/>
      <w:outlineLvl w:val="6"/>
    </w:pPr>
    <w:rPr>
      <w:b/>
      <w:sz w:val="24"/>
    </w:rPr>
  </w:style>
  <w:style w:type="paragraph" w:styleId="7">
    <w:name w:val="heading 8"/>
    <w:basedOn w:val="1"/>
    <w:next w:val="1"/>
    <w:autoRedefine/>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character" w:default="1" w:styleId="15">
    <w:name w:val="Default Paragraph Font"/>
    <w:autoRedefine/>
    <w:unhideWhenUsed/>
    <w:qFormat/>
    <w:uiPriority w:val="1"/>
  </w:style>
  <w:style w:type="table" w:default="1" w:styleId="13">
    <w:name w:val="Normal Table"/>
    <w:autoRedefine/>
    <w:unhideWhenUsed/>
    <w:qFormat/>
    <w:uiPriority w:val="99"/>
    <w:tblPr>
      <w:tblCellMar>
        <w:top w:w="0" w:type="dxa"/>
        <w:left w:w="108" w:type="dxa"/>
        <w:bottom w:w="0" w:type="dxa"/>
        <w:right w:w="108" w:type="dxa"/>
      </w:tblCellMar>
    </w:tblPr>
  </w:style>
  <w:style w:type="paragraph" w:styleId="8">
    <w:name w:val="Body Text"/>
    <w:basedOn w:val="1"/>
    <w:next w:val="9"/>
    <w:autoRedefine/>
    <w:qFormat/>
    <w:uiPriority w:val="0"/>
    <w:pPr>
      <w:spacing w:before="93" w:beforeLines="30"/>
    </w:pPr>
    <w:rPr>
      <w:rFonts w:ascii="仿宋_GB2312" w:eastAsia="仿宋_GB2312"/>
      <w:sz w:val="30"/>
    </w:rPr>
  </w:style>
  <w:style w:type="paragraph" w:styleId="9">
    <w:name w:val="toc 5"/>
    <w:basedOn w:val="1"/>
    <w:next w:val="1"/>
    <w:autoRedefine/>
    <w:qFormat/>
    <w:uiPriority w:val="0"/>
    <w:pPr>
      <w:ind w:left="1680"/>
    </w:pPr>
    <w:rPr>
      <w:rFonts w:ascii="Calibri" w:hAnsi="Calibri"/>
    </w:rPr>
  </w:style>
  <w:style w:type="paragraph" w:styleId="10">
    <w:name w:val="footer"/>
    <w:basedOn w:val="1"/>
    <w:link w:val="17"/>
    <w:autoRedefine/>
    <w:qFormat/>
    <w:uiPriority w:val="0"/>
    <w:pPr>
      <w:tabs>
        <w:tab w:val="center" w:pos="4153"/>
        <w:tab w:val="right" w:pos="8306"/>
      </w:tabs>
      <w:snapToGrid w:val="0"/>
      <w:jc w:val="left"/>
    </w:pPr>
    <w:rPr>
      <w:sz w:val="18"/>
      <w:szCs w:val="18"/>
    </w:rPr>
  </w:style>
  <w:style w:type="paragraph" w:styleId="11">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1"/>
    <w:autoRedefine/>
    <w:qFormat/>
    <w:uiPriority w:val="0"/>
    <w:rPr>
      <w:kern w:val="2"/>
      <w:sz w:val="18"/>
      <w:szCs w:val="18"/>
    </w:rPr>
  </w:style>
  <w:style w:type="character" w:customStyle="1" w:styleId="17">
    <w:name w:val="页脚 Char"/>
    <w:basedOn w:val="15"/>
    <w:link w:val="10"/>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a:t>2025</a:t>
            </a:r>
            <a:r>
              <a:rPr altLang="en-US"/>
              <a:t>年</a:t>
            </a:r>
            <a:r>
              <a:t>总收入结构图</a:t>
            </a:r>
          </a:p>
        </c:rich>
      </c:tx>
      <c:layout>
        <c:manualLayout>
          <c:xMode val="edge"/>
          <c:yMode val="edge"/>
          <c:x val="0.331239429813965"/>
          <c:y val="0.0318742031449214"/>
        </c:manualLayout>
      </c:layout>
      <c:overlay val="0"/>
      <c:spPr>
        <a:noFill/>
        <a:ln>
          <a:noFill/>
        </a:ln>
        <a:effectLst/>
      </c:spPr>
    </c:title>
    <c:autoTitleDeleted val="0"/>
    <c:plotArea>
      <c:layout/>
      <c:pieChart>
        <c:varyColors val="1"/>
        <c:ser>
          <c:idx val="0"/>
          <c:order val="0"/>
          <c:tx>
            <c:strRef>
              <c:f>Sheet1!$B$1</c:f>
              <c:strCache>
                <c:ptCount val="1"/>
                <c:pt idx="0">
                  <c:v>总收入</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16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160000" scaled="1"/>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Sheet1!$A$2:$A$5</c:f>
              <c:strCache>
                <c:ptCount val="4"/>
                <c:pt idx="0">
                  <c:v>财政拨款收入</c:v>
                </c:pt>
                <c:pt idx="1">
                  <c:v>其他收入</c:v>
                </c:pt>
              </c:strCache>
            </c:strRef>
          </c:cat>
          <c:val>
            <c:numRef>
              <c:f>Sheet1!$B$2:$B$5</c:f>
              <c:numCache>
                <c:formatCode>General</c:formatCode>
                <c:ptCount val="4"/>
                <c:pt idx="0">
                  <c:v>1239861.41</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b70b937-1ae1-4cc8-8b1a-9fc959a22658}"/>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a:t>2025</a:t>
            </a:r>
            <a:r>
              <a:rPr altLang="en-US"/>
              <a:t>年</a:t>
            </a:r>
            <a:r>
              <a:t>总支出结构图</a:t>
            </a:r>
          </a:p>
        </c:rich>
      </c:tx>
      <c:layout/>
      <c:overlay val="0"/>
      <c:spPr>
        <a:noFill/>
        <a:ln>
          <a:noFill/>
        </a:ln>
        <a:effectLst/>
      </c:spPr>
    </c:title>
    <c:autoTitleDeleted val="0"/>
    <c:plotArea>
      <c:layout/>
      <c:pieChart>
        <c:varyColors val="1"/>
        <c:ser>
          <c:idx val="0"/>
          <c:order val="0"/>
          <c:tx>
            <c:strRef>
              <c:f>Sheet1!$B$1</c:f>
              <c:strCache>
                <c:ptCount val="1"/>
                <c:pt idx="0">
                  <c:v>总支出</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16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16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16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160000" scaled="1"/>
                </a:gradFill>
              </a:ln>
              <a:effectLst/>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t>总支出, 基本支出, </a:t>
                    </a:r>
                    <a:r>
                      <a:rPr lang="en-US" altLang="zh-CN"/>
                      <a:t>1136763.41</a:t>
                    </a:r>
                    <a:r>
                      <a:t>, </a:t>
                    </a:r>
                    <a:r>
                      <a:rPr lang="en-US" altLang="zh-CN"/>
                      <a:t>91.68</a:t>
                    </a:r>
                    <a:r>
                      <a:t>%</a:t>
                    </a:r>
                  </a:p>
                </c:rich>
              </c:tx>
              <c:dLblPos val="inEnd"/>
              <c:showLegendKey val="0"/>
              <c:showVal val="1"/>
              <c:showCatName val="1"/>
              <c:showSerName val="1"/>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inEnd"/>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Sheet1!$A$2:$A$5</c:f>
              <c:strCache>
                <c:ptCount val="4"/>
                <c:pt idx="0">
                  <c:v>项目支出</c:v>
                </c:pt>
                <c:pt idx="1">
                  <c:v>基本支出</c:v>
                </c:pt>
              </c:strCache>
            </c:strRef>
          </c:cat>
          <c:val>
            <c:numRef>
              <c:f>Sheet1!$B$2:$B$5</c:f>
              <c:numCache>
                <c:formatCode>General</c:formatCode>
                <c:ptCount val="4"/>
                <c:pt idx="0">
                  <c:v>103098</c:v>
                </c:pt>
                <c:pt idx="1">
                  <c:v>1136763.41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be00a38-55b1-4f3a-bda4-1b82deffa602}"/>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9">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9">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16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6039</Words>
  <Characters>7251</Characters>
  <Lines>15</Lines>
  <Paragraphs>4</Paragraphs>
  <TotalTime>9</TotalTime>
  <ScaleCrop>false</ScaleCrop>
  <LinksUpToDate>false</LinksUpToDate>
  <CharactersWithSpaces>7293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2019-09-04T14:45:00Z</dcterms:created>
  <dc:creator>admin</dc:creator>
  <cp:lastModifiedBy>Lenovo</cp:lastModifiedBy>
  <dcterms:modified xsi:type="dcterms:W3CDTF">2026-01-22T09:07:31Z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1B862E37FBD94E51A36A1C28D1B38378_13</vt:lpwstr>
  </property>
  <property fmtid="{D5CDD505-2E9C-101B-9397-08002B2CF9AE}" pid="4" name="KSOTemplateDocerSaveRecord">
    <vt:lpwstr>eyJoZGlkIjoiMmZjNTllNzVmYjcyYzk0ZWU3MmJhNGE1ZTM5NjYyNDgifQ==</vt:lpwstr>
  </property>
</Properties>
</file>